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 w:rsidRPr="00445EE2"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________________________________________________________________________________________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 w:rsidRPr="00445EE2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SEKCJA 1: IDENTYFIKACJA SUBSTANCJI/MIESZANINY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 w:rsidRPr="00445EE2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I IDENTYFIKACJA PRZEDSIĘBIORSTWA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1.1. Identyfikator produktu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Italic" w:hAnsi="Verdana-Italic" w:cs="Verdana-Italic"/>
          <w:i/>
          <w:iCs/>
          <w:color w:val="000000"/>
          <w:sz w:val="20"/>
          <w:szCs w:val="20"/>
        </w:rPr>
      </w:pPr>
      <w:r w:rsidRPr="00445EE2">
        <w:rPr>
          <w:rFonts w:ascii="Verdana-Italic" w:hAnsi="Verdana-Italic" w:cs="Verdana-Italic"/>
          <w:i/>
          <w:iCs/>
          <w:color w:val="000000"/>
          <w:sz w:val="20"/>
          <w:szCs w:val="20"/>
        </w:rPr>
        <w:t>CEMAX ZIMOWY</w:t>
      </w:r>
      <w:r w:rsidR="006B78DF">
        <w:rPr>
          <w:rFonts w:ascii="Verdana-Italic" w:hAnsi="Verdana-Italic" w:cs="Verdana-Italic"/>
          <w:i/>
          <w:iCs/>
          <w:color w:val="000000"/>
          <w:sz w:val="20"/>
          <w:szCs w:val="20"/>
        </w:rPr>
        <w:t xml:space="preserve"> – PLASTYFIKATOR DO ZAPRAW MURARSKICH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1.2. Zastosowanie: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Płyn do zapraw klejowych umożliwiający wykonywanie prac w warunkach zimowych.</w:t>
      </w:r>
    </w:p>
    <w:p w:rsidR="006B78DF" w:rsidRDefault="00445EE2" w:rsidP="006B78DF">
      <w:pPr>
        <w:autoSpaceDE w:val="0"/>
        <w:jc w:val="both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1.3. Producent</w:t>
      </w:r>
      <w:r w:rsidR="006B78DF">
        <w:rPr>
          <w:rFonts w:ascii="Verdana-Bold" w:hAnsi="Verdana-Bold" w:cs="Verdana-Bold"/>
          <w:b/>
          <w:bCs/>
          <w:color w:val="000000"/>
          <w:sz w:val="20"/>
          <w:szCs w:val="20"/>
        </w:rPr>
        <w:t xml:space="preserve"> </w:t>
      </w:r>
    </w:p>
    <w:p w:rsidR="006B78DF" w:rsidRPr="006B78DF" w:rsidRDefault="006B78DF" w:rsidP="006B78DF">
      <w:pPr>
        <w:autoSpaceDE w:val="0"/>
        <w:jc w:val="both"/>
        <w:rPr>
          <w:rFonts w:ascii="Arial" w:eastAsia="Verdana" w:hAnsi="Arial" w:cs="Arial"/>
          <w:b/>
          <w:bCs/>
          <w:sz w:val="20"/>
          <w:szCs w:val="20"/>
        </w:rPr>
      </w:pPr>
      <w:proofErr w:type="spellStart"/>
      <w:r w:rsidRPr="006B78DF">
        <w:rPr>
          <w:rFonts w:ascii="Arial" w:eastAsia="Verdana" w:hAnsi="Arial" w:cs="Arial"/>
          <w:sz w:val="20"/>
          <w:szCs w:val="20"/>
        </w:rPr>
        <w:t>MEEX-AG</w:t>
      </w:r>
      <w:proofErr w:type="spellEnd"/>
      <w:r w:rsidRPr="006B78DF">
        <w:rPr>
          <w:rFonts w:ascii="Arial" w:eastAsia="Verdana" w:hAnsi="Arial" w:cs="Arial"/>
          <w:sz w:val="20"/>
          <w:szCs w:val="20"/>
        </w:rPr>
        <w:t xml:space="preserve"> AGROMUS S.C. E. Sikora, M. Sikora</w:t>
      </w:r>
    </w:p>
    <w:p w:rsidR="006B78DF" w:rsidRPr="006B78DF" w:rsidRDefault="006B78DF" w:rsidP="006B78DF">
      <w:pPr>
        <w:autoSpaceDE w:val="0"/>
        <w:jc w:val="both"/>
        <w:rPr>
          <w:rFonts w:ascii="Arial" w:eastAsia="Verdana" w:hAnsi="Arial" w:cs="Arial"/>
          <w:sz w:val="20"/>
          <w:szCs w:val="20"/>
        </w:rPr>
      </w:pPr>
      <w:r w:rsidRPr="006B78DF">
        <w:rPr>
          <w:rFonts w:ascii="Arial" w:eastAsia="Verdana" w:hAnsi="Arial" w:cs="Arial"/>
          <w:sz w:val="20"/>
          <w:szCs w:val="20"/>
        </w:rPr>
        <w:t xml:space="preserve">Adres: ul. </w:t>
      </w:r>
      <w:proofErr w:type="spellStart"/>
      <w:r w:rsidRPr="006B78DF">
        <w:rPr>
          <w:rFonts w:ascii="Arial" w:eastAsia="Verdana" w:hAnsi="Arial" w:cs="Arial"/>
          <w:sz w:val="20"/>
          <w:szCs w:val="20"/>
        </w:rPr>
        <w:t>Borowcowa</w:t>
      </w:r>
      <w:proofErr w:type="spellEnd"/>
      <w:r w:rsidRPr="006B78DF">
        <w:rPr>
          <w:rFonts w:ascii="Arial" w:eastAsia="Verdana" w:hAnsi="Arial" w:cs="Arial"/>
          <w:sz w:val="20"/>
          <w:szCs w:val="20"/>
        </w:rPr>
        <w:t xml:space="preserve"> k/126; 32-500 Chrzanów</w:t>
      </w:r>
    </w:p>
    <w:p w:rsidR="006B78DF" w:rsidRPr="006B78DF" w:rsidRDefault="006B78DF" w:rsidP="006B78DF">
      <w:pPr>
        <w:autoSpaceDE w:val="0"/>
        <w:jc w:val="both"/>
        <w:rPr>
          <w:rFonts w:ascii="Arial" w:eastAsia="Verdana" w:hAnsi="Arial" w:cs="Arial"/>
          <w:sz w:val="20"/>
          <w:szCs w:val="20"/>
        </w:rPr>
      </w:pPr>
      <w:r w:rsidRPr="006B78DF">
        <w:rPr>
          <w:rFonts w:ascii="Arial" w:eastAsia="Verdana" w:hAnsi="Arial" w:cs="Arial"/>
          <w:sz w:val="20"/>
          <w:szCs w:val="20"/>
        </w:rPr>
        <w:t>Telefon/</w:t>
      </w:r>
      <w:proofErr w:type="spellStart"/>
      <w:r w:rsidRPr="006B78DF">
        <w:rPr>
          <w:rFonts w:ascii="Arial" w:eastAsia="Verdana" w:hAnsi="Arial" w:cs="Arial"/>
          <w:sz w:val="20"/>
          <w:szCs w:val="20"/>
        </w:rPr>
        <w:t>Fax</w:t>
      </w:r>
      <w:proofErr w:type="spellEnd"/>
      <w:r w:rsidRPr="006B78DF">
        <w:rPr>
          <w:rFonts w:ascii="Arial" w:eastAsia="Verdana" w:hAnsi="Arial" w:cs="Arial"/>
          <w:sz w:val="20"/>
          <w:szCs w:val="20"/>
        </w:rPr>
        <w:t>: +48 32 622 92 17</w:t>
      </w:r>
    </w:p>
    <w:p w:rsidR="006B78DF" w:rsidRPr="006B78DF" w:rsidRDefault="006B78DF" w:rsidP="006B78DF">
      <w:pPr>
        <w:autoSpaceDE w:val="0"/>
        <w:jc w:val="both"/>
        <w:rPr>
          <w:rFonts w:ascii="Arial" w:eastAsia="Verdana" w:hAnsi="Arial" w:cs="Arial"/>
          <w:sz w:val="20"/>
          <w:szCs w:val="20"/>
        </w:rPr>
      </w:pPr>
      <w:r w:rsidRPr="006B78DF">
        <w:rPr>
          <w:rFonts w:ascii="Arial" w:eastAsia="Verdana" w:hAnsi="Arial" w:cs="Arial"/>
          <w:sz w:val="20"/>
          <w:szCs w:val="20"/>
        </w:rPr>
        <w:t xml:space="preserve">Adres e-mail osoby odpowiedzialnej za kartę charakterystyki: </w:t>
      </w:r>
      <w:hyperlink r:id="rId6" w:history="1">
        <w:r w:rsidRPr="006B78DF">
          <w:rPr>
            <w:rStyle w:val="Hipercze"/>
            <w:rFonts w:ascii="Arial" w:eastAsia="Verdana" w:hAnsi="Arial" w:cs="Arial"/>
            <w:sz w:val="20"/>
            <w:szCs w:val="20"/>
          </w:rPr>
          <w:t>meex@meex.pl</w:t>
        </w:r>
      </w:hyperlink>
    </w:p>
    <w:p w:rsidR="006B78DF" w:rsidRDefault="00E8732B" w:rsidP="006B78DF">
      <w:pPr>
        <w:jc w:val="both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>
        <w:rPr>
          <w:rFonts w:ascii="Verdana-Bold" w:hAnsi="Verdana-Bold" w:cs="Verdana-Bold"/>
          <w:b/>
          <w:bCs/>
          <w:color w:val="000000"/>
          <w:sz w:val="20"/>
          <w:szCs w:val="20"/>
        </w:rPr>
        <w:t>D</w:t>
      </w:r>
      <w:r w:rsidR="00445EE2"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 xml:space="preserve">ystrybutor: </w:t>
      </w:r>
    </w:p>
    <w:p w:rsidR="006B78DF" w:rsidRPr="006B78DF" w:rsidRDefault="006B78DF" w:rsidP="006B78DF">
      <w:pPr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 xml:space="preserve">Konsorcjum Handlowe </w:t>
      </w:r>
      <w:proofErr w:type="spellStart"/>
      <w:r>
        <w:rPr>
          <w:rFonts w:ascii="Arial" w:hAnsi="Arial"/>
          <w:b/>
          <w:sz w:val="20"/>
        </w:rPr>
        <w:t>Stofarb</w:t>
      </w:r>
      <w:proofErr w:type="spellEnd"/>
      <w:r>
        <w:rPr>
          <w:rFonts w:ascii="Arial" w:hAnsi="Arial"/>
          <w:b/>
          <w:sz w:val="20"/>
        </w:rPr>
        <w:t xml:space="preserve"> S.A. </w:t>
      </w:r>
      <w:r>
        <w:rPr>
          <w:rFonts w:ascii="Arial" w:hAnsi="Arial"/>
          <w:bCs/>
          <w:sz w:val="20"/>
        </w:rPr>
        <w:t xml:space="preserve">z siedzibą 41-500 Chorzów ul. Gościnna 1 NIP 627-23-38-259 </w:t>
      </w:r>
    </w:p>
    <w:p w:rsidR="006B78DF" w:rsidRDefault="006B78DF" w:rsidP="006B78DF">
      <w:pPr>
        <w:autoSpaceDE w:val="0"/>
        <w:autoSpaceDN w:val="0"/>
        <w:adjustRightInd w:val="0"/>
        <w:spacing w:after="0" w:line="240" w:lineRule="auto"/>
        <w:rPr>
          <w:rFonts w:ascii="Arial" w:hAnsi="Arial"/>
          <w:bCs/>
          <w:sz w:val="20"/>
        </w:rPr>
      </w:pPr>
      <w:r>
        <w:rPr>
          <w:rFonts w:ascii="Arial" w:hAnsi="Arial"/>
          <w:bCs/>
          <w:sz w:val="20"/>
        </w:rPr>
        <w:t>wpisanym do Rejonowego Sądu w Katowicach VIII Wydział Gospodarczy Krajowego Rejestru Sądowego pod numerem KRS 0000067361,</w:t>
      </w:r>
    </w:p>
    <w:p w:rsidR="00445EE2" w:rsidRDefault="00445EE2" w:rsidP="006B78D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FF"/>
          <w:sz w:val="20"/>
          <w:szCs w:val="20"/>
        </w:rPr>
      </w:pPr>
    </w:p>
    <w:p w:rsidR="006B78DF" w:rsidRPr="00445EE2" w:rsidRDefault="006B78DF" w:rsidP="006B78DF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FF"/>
          <w:sz w:val="20"/>
          <w:szCs w:val="20"/>
        </w:rPr>
      </w:pP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1.4. Numer telefonu alarmowego</w:t>
      </w:r>
    </w:p>
    <w:p w:rsid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112 (telefon alarmowy), 998 (straż pożarna), 999 (pogotowie ratunkowe)</w:t>
      </w:r>
    </w:p>
    <w:p w:rsidR="006B78DF" w:rsidRPr="00445EE2" w:rsidRDefault="006B78DF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 w:rsidRPr="00445EE2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SEKCJA 2: IDENTYFIKACJA ZAGROŻEŃ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2.1. Klasyfikacja substancji lub mieszaniny.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Klasyfikacja wg według rozporządzenia 1272/2008/WE: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  <w:lang w:val="en-US"/>
        </w:rPr>
      </w:pPr>
      <w:r w:rsidRPr="00445EE2">
        <w:rPr>
          <w:rFonts w:ascii="Verdana" w:hAnsi="Verdana" w:cs="Verdana"/>
          <w:color w:val="000000"/>
          <w:sz w:val="20"/>
          <w:szCs w:val="20"/>
          <w:lang w:val="en-US"/>
        </w:rPr>
        <w:t>Acute Tox.4; H302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  <w:lang w:val="en-US"/>
        </w:rPr>
      </w:pPr>
      <w:proofErr w:type="spellStart"/>
      <w:r w:rsidRPr="00445EE2">
        <w:rPr>
          <w:rFonts w:ascii="Verdana" w:hAnsi="Verdana" w:cs="Verdana"/>
          <w:color w:val="000000"/>
          <w:sz w:val="20"/>
          <w:szCs w:val="20"/>
          <w:lang w:val="en-US"/>
        </w:rPr>
        <w:t>Carc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  <w:lang w:val="en-US"/>
        </w:rPr>
        <w:t>. 2; H351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  <w:lang w:val="en-US"/>
        </w:rPr>
      </w:pPr>
      <w:proofErr w:type="spellStart"/>
      <w:r w:rsidRPr="00445EE2">
        <w:rPr>
          <w:rFonts w:ascii="Verdana" w:hAnsi="Verdana" w:cs="Verdana"/>
          <w:color w:val="000000"/>
          <w:sz w:val="20"/>
          <w:szCs w:val="20"/>
          <w:lang w:val="en-US"/>
        </w:rPr>
        <w:t>Repr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  <w:lang w:val="en-US"/>
        </w:rPr>
        <w:t>. 2; H361d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Aquatic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 xml:space="preserve"> 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Chronic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 xml:space="preserve"> 3; H412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 xml:space="preserve">Zagrożenia dla człowieka: 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Działą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 xml:space="preserve"> szkodliwie po połknięciu. Podejrzewa się, że powoduje raka.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Podejrzewa się, że działa szkodliwie na dziecko w łonie matki.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Zagrożenia dla środowiska: Działa szkodliwie na organizmy wodne, powodując długotrwałe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skutki.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Zagrożenia wynikające z właściwości fizykochemicznych: Nie jest klasyfikowany.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2.2. Elementy oznakowania.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Italic" w:hAnsi="Verdana-BoldItalic" w:cs="Verdana-BoldItalic"/>
          <w:b/>
          <w:bCs/>
          <w:i/>
          <w:iCs/>
          <w:color w:val="000000"/>
          <w:sz w:val="20"/>
          <w:szCs w:val="20"/>
        </w:rPr>
      </w:pPr>
      <w:r w:rsidRPr="00445EE2">
        <w:rPr>
          <w:rFonts w:ascii="Verdana-BoldItalic" w:hAnsi="Verdana-BoldItalic" w:cs="Verdana-BoldItalic"/>
          <w:b/>
          <w:bCs/>
          <w:i/>
          <w:iCs/>
          <w:color w:val="000000"/>
          <w:sz w:val="20"/>
          <w:szCs w:val="20"/>
        </w:rPr>
        <w:t>Piktogram określający rodzaj zagrożenia, hasło ostrzegawcze: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Uwaga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Zwroty wskazujące rodzaj zagrożenia: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 w:rsidRPr="00445EE2"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________________________________________________________________________________________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H302 – Działa szkodliwie po połknięciu.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H351 – Podejrzewa się, że powoduje raka.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H361d - Podejrzewa się, że działa szkodliwie na dziecko w łonie matki.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H412 - Działa szkodliwie na organizmy wodne, powodując długotrwałe skutki.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Zwroty określające warunki bezpiecznego stosowania: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P202 – Nie używać przed zapoznaniem się i zrozumieniem wszystkich środków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bezpieczeństwa.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P261 – Unikać wdychania pyłu.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lastRenderedPageBreak/>
        <w:t>P273 – Unikać uwolnienia do środowiska.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P280 – Stosować rękawice ochronne/odzież ochronną/ochronę oczu/ochronę twarzy.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P302+P352 – W PRZYPADKU DOSTANIA SIĘ NA SKÓRĘ: Umyć dużą ilością wody z mydłem.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P333+P313 – W przypadku wystąpienia podrażnienia skóry lub wysypki: Zasięgnąć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porady/zgłosić się pod opiekę lekarza.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P363 – Wyprać zanieczyszczoną odzież przed ponownym użyciem.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P405 – Przechowywać pod zamknięciem.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P501 – Zawartość/pojemnik usuwać zgodnie z krajowymi przepisami.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 xml:space="preserve">Nazwy niebezpiecznych składników umieszczone na etykiecie: </w:t>
      </w:r>
      <w:r w:rsidRPr="00445EE2">
        <w:rPr>
          <w:rFonts w:ascii="Verdana" w:hAnsi="Verdana" w:cs="Verdana"/>
          <w:color w:val="000000"/>
          <w:sz w:val="20"/>
          <w:szCs w:val="20"/>
        </w:rPr>
        <w:t>Tiomocznik.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2.3. Inne zagrożenia.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 xml:space="preserve">Brak informacji dotyczących spełniania kryteriów PBT lub 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vPvB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 xml:space="preserve"> zgodnie z załącznikiem XIII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rozporządzenia 1907/2006 (REACH).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 w:rsidRPr="00445EE2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SEKCJA 3: SKŁAD / INFORMACJA O SKŁADNIKACH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3.1. Substancje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Nie dotyczy.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3.2. Mieszaniny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Nazwa substancji niebezpiecznej: Tiomocznik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Zakres stężeń: &lt;20 %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Numer CAS 62-56-6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Numer WE 200-543-5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 xml:space="preserve">Klasyfikacja 67/548/EWG: 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Carc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 xml:space="preserve">. 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Cat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>. 3; R40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  <w:lang w:val="en-US"/>
        </w:rPr>
      </w:pPr>
      <w:proofErr w:type="spellStart"/>
      <w:r w:rsidRPr="00445EE2">
        <w:rPr>
          <w:rFonts w:ascii="Verdana" w:hAnsi="Verdana" w:cs="Verdana"/>
          <w:color w:val="000000"/>
          <w:sz w:val="20"/>
          <w:szCs w:val="20"/>
          <w:lang w:val="en-US"/>
        </w:rPr>
        <w:t>Repr.Cat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  <w:lang w:val="en-US"/>
        </w:rPr>
        <w:t>. 3; R63;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  <w:lang w:val="en-US"/>
        </w:rPr>
      </w:pPr>
      <w:proofErr w:type="spellStart"/>
      <w:r w:rsidRPr="00445EE2">
        <w:rPr>
          <w:rFonts w:ascii="Verdana" w:hAnsi="Verdana" w:cs="Verdana"/>
          <w:color w:val="000000"/>
          <w:sz w:val="20"/>
          <w:szCs w:val="20"/>
          <w:lang w:val="en-US"/>
        </w:rPr>
        <w:t>Xn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  <w:lang w:val="en-US"/>
        </w:rPr>
        <w:t>; R22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  <w:lang w:val="en-US"/>
        </w:rPr>
      </w:pPr>
      <w:r w:rsidRPr="00445EE2">
        <w:rPr>
          <w:rFonts w:ascii="Verdana" w:hAnsi="Verdana" w:cs="Verdana"/>
          <w:color w:val="000000"/>
          <w:sz w:val="20"/>
          <w:szCs w:val="20"/>
          <w:lang w:val="en-US"/>
        </w:rPr>
        <w:t>N; R50-53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Klasyfikacja 1272/2008/WE: Carc.2; H351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Repr.2; H361d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  <w:lang w:val="en-US"/>
        </w:rPr>
      </w:pPr>
      <w:r w:rsidRPr="00445EE2">
        <w:rPr>
          <w:rFonts w:ascii="Verdana" w:hAnsi="Verdana" w:cs="Verdana"/>
          <w:color w:val="000000"/>
          <w:sz w:val="20"/>
          <w:szCs w:val="20"/>
          <w:lang w:val="en-US"/>
        </w:rPr>
        <w:t xml:space="preserve">Acute 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  <w:lang w:val="en-US"/>
        </w:rPr>
        <w:t>Tox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  <w:lang w:val="en-US"/>
        </w:rPr>
        <w:t>. 4; H302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  <w:lang w:val="en-US"/>
        </w:rPr>
      </w:pPr>
      <w:r w:rsidRPr="00445EE2">
        <w:rPr>
          <w:rFonts w:ascii="Verdana" w:hAnsi="Verdana" w:cs="Verdana"/>
          <w:color w:val="000000"/>
          <w:sz w:val="20"/>
          <w:szCs w:val="20"/>
          <w:lang w:val="en-US"/>
        </w:rPr>
        <w:t>Aquatic Chronic 2; H411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Numer indeksowy 612-082-00-0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W sekcji 16 podano znaczenie zwrotów R i H.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 w:rsidRPr="00445EE2"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________________________________________________________________________________________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 w:rsidRPr="00445EE2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SEKCJA 4: ŚRODKI PIERWSZEJ POMOCY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4.1. Opis środków pierwszej pomocy.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 xml:space="preserve">Narażenie drogą oddechową: </w:t>
      </w:r>
      <w:r w:rsidRPr="00445EE2">
        <w:rPr>
          <w:rFonts w:ascii="Verdana" w:hAnsi="Verdana" w:cs="Verdana"/>
          <w:color w:val="000000"/>
          <w:sz w:val="20"/>
          <w:szCs w:val="20"/>
        </w:rPr>
        <w:t>Wynieść poszkodowanego z miejsca narażenia, ułożyć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w wygodnej pozycji półleżącej lub siedzącej, zapewnić spokój, chronić przed utratą ciepła.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Jeżeli wystąpią zaburzenia oddychania, podawać tlen do oddychania. Jeżeli objawy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nie ustępują, wezwać lekarza.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 xml:space="preserve">Kontakt ze skórą: </w:t>
      </w:r>
      <w:r w:rsidRPr="00445EE2">
        <w:rPr>
          <w:rFonts w:ascii="Verdana" w:hAnsi="Verdana" w:cs="Verdana"/>
          <w:color w:val="000000"/>
          <w:sz w:val="20"/>
          <w:szCs w:val="20"/>
        </w:rPr>
        <w:t>Obficie zmywać letnią, bieżącą wodą. Zdjąć zanieczyszczoną odzież. Jeśli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podrażnienie nie ustępuje, zasięgnąć porady lekarza.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 xml:space="preserve">Kontakt z oczami: </w:t>
      </w:r>
      <w:r w:rsidRPr="00445EE2">
        <w:rPr>
          <w:rFonts w:ascii="Verdana" w:hAnsi="Verdana" w:cs="Verdana"/>
          <w:color w:val="000000"/>
          <w:sz w:val="20"/>
          <w:szCs w:val="20"/>
        </w:rPr>
        <w:t>Natychmiast płukać dużą ilością letniej wody, najlepiej bieżącej, przez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co najmniej 15 min. Usunąć szkła kontaktowe. Unikać silnego strumienia wody ze względu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na ryzyko mechanicznego uszkodzenia rogówki. Jeżeli podrażnienie nie ustępuje, należy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skonsultować się z lekarzem-okulistą.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 xml:space="preserve">Spożycie: </w:t>
      </w:r>
      <w:r w:rsidRPr="00445EE2">
        <w:rPr>
          <w:rFonts w:ascii="Verdana" w:hAnsi="Verdana" w:cs="Verdana"/>
          <w:color w:val="000000"/>
          <w:sz w:val="20"/>
          <w:szCs w:val="20"/>
        </w:rPr>
        <w:t>Jeżeli nastąpi połknięcie, wypłukać usta wodą. Wezwać lekarza.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 xml:space="preserve">Ogólne zalecenia: </w:t>
      </w:r>
      <w:r w:rsidRPr="00445EE2">
        <w:rPr>
          <w:rFonts w:ascii="Verdana" w:hAnsi="Verdana" w:cs="Verdana"/>
          <w:color w:val="000000"/>
          <w:sz w:val="20"/>
          <w:szCs w:val="20"/>
        </w:rPr>
        <w:t>Powinny być przestrzegane zwykłe środki ostrożności jak przy pracy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z chemikaliami. Jeżeli wystąpią jakiekolwiek niepokojące objawy, wezwać lekarza.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4.2. Najważniejsze ostre i opóźnione objawy oraz skutki narażenia.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Przy spożyciu</w:t>
      </w:r>
      <w:r w:rsidRPr="00445EE2">
        <w:rPr>
          <w:rFonts w:ascii="Verdana" w:hAnsi="Verdana" w:cs="Verdana"/>
          <w:color w:val="000000"/>
          <w:sz w:val="20"/>
          <w:szCs w:val="20"/>
        </w:rPr>
        <w:t>: Może powodować podrażnienie błon śluzowych i układu pokarmowego.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 xml:space="preserve">Kontakt z oczami: </w:t>
      </w:r>
      <w:r w:rsidRPr="00445EE2">
        <w:rPr>
          <w:rFonts w:ascii="Verdana" w:hAnsi="Verdana" w:cs="Verdana"/>
          <w:color w:val="000000"/>
          <w:sz w:val="20"/>
          <w:szCs w:val="20"/>
        </w:rPr>
        <w:t>Może wywoływać podrażnienie, zaczerwienienie i ból spojówek.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 xml:space="preserve">Kontakt ze skórą: </w:t>
      </w:r>
      <w:r w:rsidRPr="00445EE2">
        <w:rPr>
          <w:rFonts w:ascii="Verdana" w:hAnsi="Verdana" w:cs="Verdana"/>
          <w:color w:val="000000"/>
          <w:sz w:val="20"/>
          <w:szCs w:val="20"/>
        </w:rPr>
        <w:t>Wielokrotne narażenie może powodować zaczerwienienie, swędzenie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lastRenderedPageBreak/>
        <w:t>i wysuszenie skóry.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 xml:space="preserve">Narażenie drogą oddechową: </w:t>
      </w:r>
      <w:r w:rsidRPr="00445EE2">
        <w:rPr>
          <w:rFonts w:ascii="Verdana" w:hAnsi="Verdana" w:cs="Verdana"/>
          <w:color w:val="000000"/>
          <w:sz w:val="20"/>
          <w:szCs w:val="20"/>
        </w:rPr>
        <w:t>Długotrwałe narażenie może powodować podrażnienie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górnych dróg oddechowych.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4.3. Wskazówki dotyczące wszelkiej natychmiastowej pomocy lekarskiej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i szczególnego postępowania z poszkodowanym.</w:t>
      </w:r>
    </w:p>
    <w:p w:rsid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Stosować leczenie objawowe.</w:t>
      </w:r>
    </w:p>
    <w:p w:rsidR="006B78DF" w:rsidRPr="00445EE2" w:rsidRDefault="006B78DF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 w:rsidRPr="00445EE2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SEKCJA 5: POSTĘPOWANIE W PRZYPADKU POŻARU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5.1. Środki gaśnicze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Odpowiednie środki gaśnicze: W zależności od materiałów składowanych w pobliżu.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Niewłaściwe środki gaśnicze: Zwarty mocny strumień wody.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5.2. Szczególne zagrożenia związane z substancją lub mieszaniną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 xml:space="preserve">Produkt nie palny. Podczas spalania mogą powstawać niebezpieczne gazy: 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SOx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 xml:space="preserve">, 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NOx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 xml:space="preserve">, 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COx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>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5.3. Informacje dla straży pożarnej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Stosować gazoszczelną odzież ochronną i aparaty oddechowe niezależne od powietrza</w:t>
      </w:r>
    </w:p>
    <w:p w:rsid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z otoczenia. Nie dopuścić do przedostania się do kanalizacji, wód gruntowych i gleby.</w:t>
      </w:r>
    </w:p>
    <w:p w:rsidR="006B78DF" w:rsidRPr="00445EE2" w:rsidRDefault="006B78DF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 w:rsidRPr="00445EE2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SEKCJA 6: POSTĘPOWANIE W PRZYPADKU NIEZAMIERZONEGO UWOLNIENIA</w:t>
      </w:r>
      <w:r w:rsidR="006B78DF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 xml:space="preserve"> </w:t>
      </w:r>
      <w:r w:rsidRPr="00445EE2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DO ŚRODOWISKA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 w:rsidRPr="00445EE2"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__________________________________________________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6.1. Indywidualne środki ostrożności, wyposażenie ochronne i procedury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w sytuacjach awaryjnych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Nie wdychać oparów. Stosować odzież ochronną i sprzęt ochronny.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6.2. Środki ostrożności w zakresie ochrony środowiska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Zabezpieczyć przed wprowadzeniem do miejskiego systemu wodno-kanalizacyjnego i cieków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wodnych.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6.3. Metody i materiały zapobiegające rozprzestrzenianiu się skażenia i służące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do usuwania skażenia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Uszkodzone opakowanie umieścić w opakowaniu zastępczym. Rozlany produkt zebrać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za pomocą obojętnych materiałów absorbujących. (piasek, ziemia okrzemkowa)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i przenieść do szczelnie zamykanych pojemników. Zanieczyszczoną powierzchnię spłukać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dużą ilością wody.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6.3. Odniesienia do innych sekcji</w:t>
      </w:r>
    </w:p>
    <w:p w:rsid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Postępowanie z odpadami – patrz sekcja 13. Środki ochrony indywidualnej – patrz sekcja 8.</w:t>
      </w:r>
    </w:p>
    <w:p w:rsidR="006B78DF" w:rsidRPr="00445EE2" w:rsidRDefault="006B78DF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 w:rsidRPr="00445EE2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SEKCJA 7: POSTĘPOWANIE Z SUBSTANCJAMI I MIESZNINAMI ORAZ ICH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 w:rsidRPr="00445EE2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MAGAZYNOWANIE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7.1. Środki ostrożności dotyczące bezpiecznego postępowania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Postępować zgodnie z ogólnie przyjętymi zasadami higieny osobistej i stosować środki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ochrony indywidualnej. Zapewnić odpowiednio skuteczną wentylację.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7.2. Warunki bezpiecznego magazynowania, łącznie z informacjami dotyczącymi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wszelkich wzajemnych niezgodności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Przechowywać w oryginalnych , szczelnych opakowaniach, w temp(5 – 25</w:t>
      </w:r>
      <w:r w:rsidRPr="00445EE2">
        <w:rPr>
          <w:rFonts w:ascii="Verdana" w:hAnsi="Verdana" w:cs="Verdana"/>
          <w:color w:val="000000"/>
          <w:sz w:val="12"/>
          <w:szCs w:val="12"/>
        </w:rPr>
        <w:t>0</w:t>
      </w:r>
      <w:r w:rsidRPr="00445EE2">
        <w:rPr>
          <w:rFonts w:ascii="Verdana" w:hAnsi="Verdana" w:cs="Verdana"/>
          <w:color w:val="000000"/>
          <w:sz w:val="20"/>
          <w:szCs w:val="20"/>
        </w:rPr>
        <w:t>C), w suchym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i dobrze wentylowanym pomieszczeniu. Zabezpieczać przed działaniem promieni słonecznych.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Chronić przed mrozem.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7.3. Szczególne zastosowanie(-a) końcowe</w:t>
      </w:r>
    </w:p>
    <w:p w:rsid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Nie dotyczy.</w:t>
      </w:r>
    </w:p>
    <w:p w:rsidR="006B78DF" w:rsidRDefault="006B78DF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</w:p>
    <w:p w:rsidR="006B78DF" w:rsidRDefault="006B78DF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</w:p>
    <w:p w:rsidR="006B78DF" w:rsidRDefault="006B78DF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</w:p>
    <w:p w:rsidR="006B78DF" w:rsidRDefault="006B78DF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</w:p>
    <w:p w:rsidR="006B78DF" w:rsidRPr="00445EE2" w:rsidRDefault="006B78DF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 w:rsidRPr="00445EE2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lastRenderedPageBreak/>
        <w:t>SEKCJA 8: KONTROLA NARAŻENIA/ŚRODKI OCHRONY INDYWIDUALNEJ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8.1. Parametry dotyczące kontroli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Nie określono.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Podstawa prawna: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Rozporządzenie Ministra Pracy i Polityki Społecznej z dnia 29 listopada 2002 r. w sprawie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najwyższych dopuszczalnych stężeń i natężeń czynników szkodliwych dla zdrowia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w środowisku pracy (Dz. U nr 217, poz. 1833 z późniejszymi zmianami).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8.2. Kontrola narażenia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Obowiązują przepisy ogólne higieny pracy. Po zakończeniu pracy zdjąć zanieczyszczone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ubranie. Przed przerwami w pracy wymyć ręce i twarz. Po pracy umyć dokładnie całe ciało.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Nie jeść, nie pić, nie palić podczas pracy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Ochrona oczu lub twarzy: Stosować okulary ochronne typu gogle, chroniące przed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kroplami cieczy.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 w:rsidRPr="00445EE2"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_____________________________________________________________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Ochrona skóry: Zazwyczaj nie jest wymagana. Przy operowaniu dużymi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ilościami stosować rękawice ochronne.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Ochrona dróg oddechowych: Zazwyczaj nie jest wymagana. Stosować odpowiednią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wentylację w miejscu pracy z produktem.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Zagrożenia termiczne: Brak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Stosowane środki ochrony indywidualnej powinny spełniać wymagania zawarte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w rozporządzeniu w sprawie zasadniczych wymagań dla środków ochrony indywidualnej (Dz.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U. Z 2005r., nr 259, poz. 2173). Pracodawca zobowiązany jest zapewnić środki ochrony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indywidualnej właściwe do wykonywanych prac oraz spełniające wszystkie wymagania, w tym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ich konserwację i oczyszczanie.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Kontrola narażenia środowiska: Zabezpieczyć przed wprowadzaniem do cieków wodnych.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 w:rsidRPr="00445EE2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SEKCJA 9: WŁAŚCIWOŚCI FIZYCZNE I CHEMICZNE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9.1. Informacje na temat podstawowych właściwości fizycznych i chemicznych.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Barwa: Brunatna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Zapach: Bezwonny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Próg zapachu: Nie dotyczy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pH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>: 10-10,5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Temperatura topnienia/krzepnięcia: Nie określono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Początkowa temperatura wrzenia Nie określono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i zakres temperatur wrzenia: Nie określono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Temperatura zapłonu: Nie określono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Szybkość parowania: Nie określono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Palność: Nie palny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Górna/dolna granica wybuchowości: Nie stwarza zagrożenia wybuchowego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Prężność par: Nie określono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Gęstość względna: 1,05g/cm</w:t>
      </w:r>
      <w:r w:rsidRPr="00445EE2">
        <w:rPr>
          <w:rFonts w:ascii="Verdana" w:hAnsi="Verdana" w:cs="Verdana"/>
          <w:color w:val="000000"/>
          <w:sz w:val="12"/>
          <w:szCs w:val="12"/>
        </w:rPr>
        <w:t xml:space="preserve">3 </w:t>
      </w:r>
      <w:r w:rsidRPr="00445EE2">
        <w:rPr>
          <w:rFonts w:ascii="Verdana" w:hAnsi="Verdana" w:cs="Verdana"/>
          <w:color w:val="000000"/>
          <w:sz w:val="20"/>
          <w:szCs w:val="20"/>
        </w:rPr>
        <w:t>w 20</w:t>
      </w:r>
      <w:r w:rsidRPr="00445EE2">
        <w:rPr>
          <w:rFonts w:ascii="Verdana" w:hAnsi="Verdana" w:cs="Verdana"/>
          <w:color w:val="000000"/>
          <w:sz w:val="12"/>
          <w:szCs w:val="12"/>
        </w:rPr>
        <w:t>o</w:t>
      </w:r>
      <w:r w:rsidRPr="00445EE2">
        <w:rPr>
          <w:rFonts w:ascii="Verdana" w:hAnsi="Verdana" w:cs="Verdana"/>
          <w:color w:val="000000"/>
          <w:sz w:val="20"/>
          <w:szCs w:val="20"/>
        </w:rPr>
        <w:t>C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Rozpuszczalność: Rozpuszcza się w wodzie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 xml:space="preserve">Współczynnik podziału: 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n-oktanol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>/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woda:Nie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 xml:space="preserve"> określono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Temperatura samozapłonu: Nie dotyczy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Temperatura rozkładu: Nie określono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Lepkość: Nie określono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Właściwości wybuchowe: Produkt nie jest wybuchowy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Właściwości utleniające: Nie określono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9.2. Inne informacje.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Brak</w:t>
      </w:r>
    </w:p>
    <w:p w:rsidR="006B78DF" w:rsidRDefault="006B78DF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</w:p>
    <w:p w:rsidR="006B78DF" w:rsidRDefault="006B78DF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</w:p>
    <w:p w:rsidR="006B78DF" w:rsidRDefault="006B78DF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 w:rsidRPr="00445EE2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lastRenderedPageBreak/>
        <w:t>SEKCJA 10: STABILNOŚĆ i REAKTYWNOŚĆ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10.1.Reaktywność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Produkt nie jest reaktywny chemicznie.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 w:rsidRPr="00445EE2"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_________________________________________________________________________________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10.2.Stabilność chemiczna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Produkt w warunkach prawidłowego przechowywania jest stabilny chemicznie.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10.3.Możliwość występowania niebezpiecznych reakcji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Nie określono.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10.4.Warunki, których należy unikać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Chronić przed mrozem.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10.5.Materiały niezgodne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Nie określono.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10.6.Niebezpieczne produkty rozpadu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 xml:space="preserve">Tlenki węgla 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(CO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>x), tlenki azotu (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NOx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>), tlenki siarki (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SOx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>).</w:t>
      </w:r>
    </w:p>
    <w:p w:rsidR="006B78DF" w:rsidRDefault="006B78DF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 w:rsidRPr="00445EE2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SEKCJA 11: INFORMACJE TOKSYKOLOGICZNE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11.1.Informacje dotyczące skutków toksykologicznych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Poniższe dane odnoszą się do składników produktu.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Toksyczność ostra: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Tiomocznik [CAS: 62-56-6]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LC50 (doustnie szczur): 1750mg/kg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LD50 (skóra królik): &gt;2800mg/kg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LC50 (inhalacja szczur): &gt;0,9mg/m3/4h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W przypadku długotrwałego lub często powtarzającego się narażenia na działanie tiomocznika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mogą wystąpić choroby krwi, zaburzenia w pracy tarczycy. Podejrzewa się działanie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rakotwórcze i szkodliwe działanie na dziecko w łonie matki.</w:t>
      </w:r>
    </w:p>
    <w:p w:rsidR="006B78DF" w:rsidRDefault="006B78DF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4"/>
          <w:szCs w:val="24"/>
        </w:rPr>
      </w:pP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4"/>
          <w:szCs w:val="24"/>
        </w:rPr>
      </w:pPr>
      <w:r w:rsidRPr="00445EE2">
        <w:rPr>
          <w:rFonts w:ascii="Verdana-Bold" w:hAnsi="Verdana-Bold" w:cs="Verdana-Bold"/>
          <w:b/>
          <w:bCs/>
          <w:color w:val="000000"/>
          <w:sz w:val="24"/>
          <w:szCs w:val="24"/>
        </w:rPr>
        <w:t>SEKCJA 12: INFORMACJE EKOLOGICZNE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12.1.Toksyczność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Tiomocznik [CAS: 62-56-6]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LC50: 1000mg/l/96h (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Brachydanio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 xml:space="preserve"> 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rerio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>)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EC50: 1,8mg/l/96h (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Daphnia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 xml:space="preserve"> magna)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  <w:lang w:val="en-US"/>
        </w:rPr>
      </w:pPr>
      <w:r w:rsidRPr="00445EE2">
        <w:rPr>
          <w:rFonts w:ascii="Verdana" w:hAnsi="Verdana" w:cs="Verdana"/>
          <w:color w:val="000000"/>
          <w:sz w:val="20"/>
          <w:szCs w:val="20"/>
          <w:lang w:val="en-US"/>
        </w:rPr>
        <w:t>EC50: 3,8-10mg/l/72h (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  <w:lang w:val="en-US"/>
        </w:rPr>
        <w:t>Scenedesmus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  <w:lang w:val="en-US"/>
        </w:rPr>
        <w:t xml:space="preserve"> 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  <w:lang w:val="en-US"/>
        </w:rPr>
        <w:t>subspicatus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  <w:lang w:val="en-US"/>
        </w:rPr>
        <w:t>)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12.2.Trwałość i zdolność do rozkładu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Brak danych.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 xml:space="preserve">12.3.Zdolność do </w:t>
      </w:r>
      <w:proofErr w:type="spellStart"/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bioakumulacji</w:t>
      </w:r>
      <w:proofErr w:type="spellEnd"/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Brak danych.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12.4. Mobilność w glebie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Brak danych.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 xml:space="preserve">12.5.Wyniki oceny właściwości PBT i </w:t>
      </w:r>
      <w:proofErr w:type="spellStart"/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vPvB</w:t>
      </w:r>
      <w:proofErr w:type="spellEnd"/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Nie dotyczy.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12.6.Inne szkodliwe skutki działania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Brak danych.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 w:rsidRPr="00445EE2"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__________________________________________________________________</w:t>
      </w:r>
    </w:p>
    <w:p w:rsidR="006B78DF" w:rsidRDefault="006B78DF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4"/>
          <w:szCs w:val="24"/>
        </w:rPr>
      </w:pP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4"/>
          <w:szCs w:val="24"/>
        </w:rPr>
      </w:pPr>
      <w:r w:rsidRPr="00445EE2">
        <w:rPr>
          <w:rFonts w:ascii="Verdana-Bold" w:hAnsi="Verdana-Bold" w:cs="Verdana-Bold"/>
          <w:b/>
          <w:bCs/>
          <w:color w:val="000000"/>
          <w:sz w:val="24"/>
          <w:szCs w:val="24"/>
        </w:rPr>
        <w:t>SEKCJA 13: POSTĘPOWANIE Z ODPADAMI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13.1.Metody unieszkodliwiania odpadów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Nie usuwać produktu razem z odpadami komunalnymi, nie wylewać do kanalizacji.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Niedopuścić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 xml:space="preserve"> do zanieczyszczenia wód powierzchniowych i gruntowych. Zużyte opakowania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po oczyszczeniu przekazać do recyklingu.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Przestrzegać przepisów ustawy z dnia 27 kwietnia 2001 r. o odpadach (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Dz.U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>. z 2001r.,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nr 62, poz. 628 z późniejszymi zm.).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Przestrzegć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 xml:space="preserve"> przepisów ustawy z dnia 11 maja 2001r. o opakowaniach i odpadach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lastRenderedPageBreak/>
        <w:t>opakowaniowych (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Dz.U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>. z 2001r., nr 63, poz. 638.).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Klasyfikacja odpadów zgodnie z Rozporządzeniem Ministra Środowiska z dnia 27 września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2001 w sprawie katalogu odpadów (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Dz.U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>. z 200r., nr 112, poz. 1206).</w:t>
      </w:r>
    </w:p>
    <w:p w:rsidR="006B78DF" w:rsidRDefault="006B78DF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4"/>
          <w:szCs w:val="24"/>
        </w:rPr>
      </w:pP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4"/>
          <w:szCs w:val="24"/>
        </w:rPr>
      </w:pPr>
      <w:r w:rsidRPr="00445EE2">
        <w:rPr>
          <w:rFonts w:ascii="Verdana-Bold" w:hAnsi="Verdana-Bold" w:cs="Verdana-Bold"/>
          <w:b/>
          <w:bCs/>
          <w:color w:val="000000"/>
          <w:sz w:val="24"/>
          <w:szCs w:val="24"/>
        </w:rPr>
        <w:t>SEKCJA 14: INFORMACJE DOTYCZĄCE TRANSPORTU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14.1. Numer UN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Brak.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14.2.Prawidłowa nazwa przewozowa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Brak.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14.3. Klasa(-y) zagrożenia w transporcie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Brak.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14.4. Grupa pakowania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Brak.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14.5. Zagrożenia dla środowiska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Produkt nie stanowi zagrożenia dla środowiska.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14.6. Szczególne środki ostrożności dla użytkownika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Stosować środki ochrony indywidualnej – patrz sekcja 8.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14.7. Transport luzem zgodnie z załącznikiem II do MARPOL 73/78 i kodem IBC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Nie dotyczy.</w:t>
      </w:r>
    </w:p>
    <w:p w:rsidR="006B78DF" w:rsidRDefault="006B78DF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 w:rsidRPr="00445EE2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SEKCJA 15: INFORMACJE DOTYCZĄCE PRZEPISÓW PRAWNYCH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15.1. Przepisy prawne dotyczące bezpieczeństwa, ochrony zdrowia i środowiska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specyficzne dla substancji lub mieszaniny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OpenSymbol" w:hAnsi="OpenSymbol" w:cs="OpenSymbol"/>
          <w:color w:val="000000"/>
          <w:sz w:val="20"/>
          <w:szCs w:val="20"/>
        </w:rPr>
        <w:t xml:space="preserve">• </w:t>
      </w:r>
      <w:r w:rsidRPr="00445EE2">
        <w:rPr>
          <w:rFonts w:ascii="Verdana" w:hAnsi="Verdana" w:cs="Verdana"/>
          <w:color w:val="000000"/>
          <w:sz w:val="20"/>
          <w:szCs w:val="20"/>
        </w:rPr>
        <w:t>Ustawa z dnia 25 lutego 2011 r. o substancjach chemicznych i ich mieszaninach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(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Dz.U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>. Nr 63, poz. 322).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OpenSymbol" w:hAnsi="OpenSymbol" w:cs="OpenSymbol"/>
          <w:color w:val="000000"/>
          <w:sz w:val="20"/>
          <w:szCs w:val="20"/>
        </w:rPr>
        <w:t xml:space="preserve">• </w:t>
      </w:r>
      <w:r w:rsidRPr="00445EE2">
        <w:rPr>
          <w:rFonts w:ascii="Verdana" w:hAnsi="Verdana" w:cs="Verdana"/>
          <w:color w:val="000000"/>
          <w:sz w:val="20"/>
          <w:szCs w:val="20"/>
        </w:rPr>
        <w:t>Rozporządzenie Ministra Zdrowia z dnia 10 sierpnia 2012r. w sprawie kryteriów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i sposobu klasyfikacji substancji chemicznych i ich mieszanin (Dz. U. 2012r., poz.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 xml:space="preserve">1018 z 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późn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>. zm.).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OpenSymbol" w:hAnsi="OpenSymbol" w:cs="OpenSymbol"/>
          <w:color w:val="000000"/>
          <w:sz w:val="20"/>
          <w:szCs w:val="20"/>
        </w:rPr>
        <w:t xml:space="preserve">• </w:t>
      </w:r>
      <w:r w:rsidRPr="00445EE2">
        <w:rPr>
          <w:rFonts w:ascii="Verdana" w:hAnsi="Verdana" w:cs="Verdana"/>
          <w:color w:val="000000"/>
          <w:sz w:val="20"/>
          <w:szCs w:val="20"/>
        </w:rPr>
        <w:t>Rozporządzenie Ministra Gospodarki z dnia 21 grudnia 2005 r. w sprawie zasadniczych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wymagań dla środków ochrony indywidualnej (Dz. U. z 2005 r. Nr 259, poz.2173).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 w:rsidRPr="00445EE2"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______________________________________________________________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OpenSymbol" w:hAnsi="OpenSymbol" w:cs="OpenSymbol"/>
          <w:color w:val="000000"/>
          <w:sz w:val="20"/>
          <w:szCs w:val="20"/>
        </w:rPr>
        <w:t xml:space="preserve">• </w:t>
      </w:r>
      <w:r w:rsidRPr="00445EE2">
        <w:rPr>
          <w:rFonts w:ascii="Verdana" w:hAnsi="Verdana" w:cs="Verdana"/>
          <w:color w:val="000000"/>
          <w:sz w:val="20"/>
          <w:szCs w:val="20"/>
        </w:rPr>
        <w:t>Rozporządzenie Ministra Zdrowia z dnia 20kwietnia 2012 r. w sprawie oznakowania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opakowań substancji niebezpiecznych i mieszanin niebezpiecznych oraz niektórych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 xml:space="preserve">mieszanin (Dz. U. 2012r., poz. 445 z 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późn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>. zm.)).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OpenSymbol" w:hAnsi="OpenSymbol" w:cs="OpenSymbol"/>
          <w:color w:val="000000"/>
          <w:sz w:val="20"/>
          <w:szCs w:val="20"/>
        </w:rPr>
        <w:t xml:space="preserve">• </w:t>
      </w:r>
      <w:r w:rsidRPr="00445EE2">
        <w:rPr>
          <w:rFonts w:ascii="Verdana" w:hAnsi="Verdana" w:cs="Verdana"/>
          <w:color w:val="000000"/>
          <w:sz w:val="20"/>
          <w:szCs w:val="20"/>
        </w:rPr>
        <w:t>Rozporządzenie Ministra Pracy i Polityki Socjalnej z dnia 29 listopada 2002 r.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w sprawie najwyższych dopuszczalnych stężeń i natężeń czynników szkodliwych dla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 xml:space="preserve">zdrowia w środowisku pracy (Dz. U. Nr 217, poz. 1833 z 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późn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>. zm.).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OpenSymbol" w:hAnsi="OpenSymbol" w:cs="OpenSymbol"/>
          <w:color w:val="000000"/>
          <w:sz w:val="20"/>
          <w:szCs w:val="20"/>
        </w:rPr>
        <w:t xml:space="preserve">• </w:t>
      </w:r>
      <w:r w:rsidRPr="00445EE2">
        <w:rPr>
          <w:rFonts w:ascii="Verdana" w:hAnsi="Verdana" w:cs="Verdana"/>
          <w:color w:val="000000"/>
          <w:sz w:val="20"/>
          <w:szCs w:val="20"/>
        </w:rPr>
        <w:t>Rozporządzenie Ministra Pracy i Polityki Socjalnej z dnia 26 września 1997 r.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w sprawie ogólnych przepisów bezpieczeństwa i higieny pracy (Dz. U. Nr 129, poz.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 xml:space="preserve">844 z 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późn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>. zm.).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OpenSymbol" w:hAnsi="OpenSymbol" w:cs="OpenSymbol"/>
          <w:color w:val="000000"/>
          <w:sz w:val="20"/>
          <w:szCs w:val="20"/>
        </w:rPr>
        <w:t xml:space="preserve">• </w:t>
      </w:r>
      <w:r w:rsidRPr="00445EE2">
        <w:rPr>
          <w:rFonts w:ascii="Verdana" w:hAnsi="Verdana" w:cs="Verdana"/>
          <w:color w:val="000000"/>
          <w:sz w:val="20"/>
          <w:szCs w:val="20"/>
        </w:rPr>
        <w:t>Rozporządzenie Ministra Zdrowia z dnia 2 lutego 2011r. W sprawie badań i pomiarów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czynników szkodliwych dla zdrowia w środowisku pracy (Dz. U. Nr 33, poz.166)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OpenSymbol" w:hAnsi="OpenSymbol" w:cs="OpenSymbol"/>
          <w:color w:val="000000"/>
          <w:sz w:val="20"/>
          <w:szCs w:val="20"/>
        </w:rPr>
        <w:t xml:space="preserve">• </w:t>
      </w:r>
      <w:r w:rsidRPr="00445EE2">
        <w:rPr>
          <w:rFonts w:ascii="Verdana" w:hAnsi="Verdana" w:cs="Verdana"/>
          <w:color w:val="000000"/>
          <w:sz w:val="20"/>
          <w:szCs w:val="20"/>
        </w:rPr>
        <w:t>Rozporządzenie Ministra Gospodarki z dnia 21 października 1998 r. (Dz. U. Nr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145,poz. 942) i zmianą z 5 marca 2001 r. (Dz. U. Nr 22, poz. 251) w sprawie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szczegółowych zasad usuwania, wykorzystywania i unieszkodliwiania odpadów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niebezpiecznych.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OpenSymbol" w:hAnsi="OpenSymbol" w:cs="OpenSymbol"/>
          <w:color w:val="000000"/>
          <w:sz w:val="20"/>
          <w:szCs w:val="20"/>
        </w:rPr>
        <w:t xml:space="preserve">• </w:t>
      </w:r>
      <w:r w:rsidRPr="00445EE2">
        <w:rPr>
          <w:rFonts w:ascii="Verdana" w:hAnsi="Verdana" w:cs="Verdana"/>
          <w:color w:val="000000"/>
          <w:sz w:val="20"/>
          <w:szCs w:val="20"/>
        </w:rPr>
        <w:t xml:space="preserve">Ustawa o odpadach z dnia 14 grudnia 2012r (Dz. U. 2013r., poz. 21 z 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późn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>. zm.).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OpenSymbol" w:hAnsi="OpenSymbol" w:cs="OpenSymbol"/>
          <w:color w:val="000000"/>
          <w:sz w:val="20"/>
          <w:szCs w:val="20"/>
        </w:rPr>
        <w:t xml:space="preserve">• </w:t>
      </w:r>
      <w:r w:rsidRPr="00445EE2">
        <w:rPr>
          <w:rFonts w:ascii="Verdana" w:hAnsi="Verdana" w:cs="Verdana"/>
          <w:color w:val="000000"/>
          <w:sz w:val="20"/>
          <w:szCs w:val="20"/>
        </w:rPr>
        <w:t>Ustawa z dnia 13 czerwca 2013r. O gospodarce opakowaniami i odpadami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 xml:space="preserve">opakowaniowymi (Dz. U. 2013R., poz.888 z 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późn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>. zm.).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OpenSymbol" w:hAnsi="OpenSymbol" w:cs="OpenSymbol"/>
          <w:color w:val="000000"/>
          <w:sz w:val="20"/>
          <w:szCs w:val="20"/>
        </w:rPr>
        <w:t xml:space="preserve">• </w:t>
      </w:r>
      <w:r w:rsidRPr="00445EE2">
        <w:rPr>
          <w:rFonts w:ascii="Verdana" w:hAnsi="Verdana" w:cs="Verdana"/>
          <w:color w:val="000000"/>
          <w:sz w:val="20"/>
          <w:szCs w:val="20"/>
        </w:rPr>
        <w:t>Rozporządzenie Ministra Ochrony Środowiska z dnia 27 września 2001 r. w sprawie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katalogu odpadów (Dz. U. Nr 112, poz. 1206).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OpenSymbol" w:hAnsi="OpenSymbol" w:cs="OpenSymbol"/>
          <w:color w:val="000000"/>
          <w:sz w:val="20"/>
          <w:szCs w:val="20"/>
        </w:rPr>
        <w:t xml:space="preserve">• </w:t>
      </w:r>
      <w:r w:rsidRPr="00445EE2">
        <w:rPr>
          <w:rFonts w:ascii="Verdana" w:hAnsi="Verdana" w:cs="Verdana"/>
          <w:color w:val="000000"/>
          <w:sz w:val="20"/>
          <w:szCs w:val="20"/>
        </w:rPr>
        <w:t>Transport drogowy i kolejowy ADR/RID zgodnie z Oświadczeniem Rządowym z dnia 28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maja 2013r. w sprawie wejścia w życie zmian do załączników A i B Umowy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europejskiej dotyczącej międzynarodowego przewozu drogowego towarów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niebezpiecznych (ADR), sporządzonej w Genewie dnia 30 września 1957 r. (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dZ.u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>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lastRenderedPageBreak/>
        <w:t>2013r., poz. 815) oraz Ustawą z dnia 28 marca 2003 r.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o transporcie kolejowym - tekst ujednolicony (Dz. U. z 2003 r. Nr 86, poz. 789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 xml:space="preserve">z 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późn.zm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>.).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OpenSymbol" w:hAnsi="OpenSymbol" w:cs="OpenSymbol"/>
          <w:color w:val="000000"/>
          <w:sz w:val="20"/>
          <w:szCs w:val="20"/>
        </w:rPr>
        <w:t xml:space="preserve">• </w:t>
      </w:r>
      <w:r w:rsidRPr="00445EE2">
        <w:rPr>
          <w:rFonts w:ascii="Verdana" w:hAnsi="Verdana" w:cs="Verdana"/>
          <w:color w:val="000000"/>
          <w:sz w:val="20"/>
          <w:szCs w:val="20"/>
        </w:rPr>
        <w:t>Rozporządzenie (WE) nr 1907/2006 Parlamentu Europejskiego i Rady z dnia 18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grudnia 2006 r. w sprawie rejestracji, oceny, udzielania zezwoleń i stosowanych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ograniczeń (REACH), Dziennik Urzędowy Unii Europejskiej L 396 z dnia 30 grudnia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 xml:space="preserve">2006 roku z 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późn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>. zm.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OpenSymbol" w:hAnsi="OpenSymbol" w:cs="OpenSymbol"/>
          <w:color w:val="000000"/>
          <w:sz w:val="20"/>
          <w:szCs w:val="20"/>
        </w:rPr>
        <w:t xml:space="preserve">• </w:t>
      </w:r>
      <w:r w:rsidRPr="00445EE2">
        <w:rPr>
          <w:rFonts w:ascii="Verdana" w:hAnsi="Verdana" w:cs="Verdana"/>
          <w:color w:val="000000"/>
          <w:sz w:val="20"/>
          <w:szCs w:val="20"/>
        </w:rPr>
        <w:t>Rozporządzenie Parlamentu Europejskiego i Rady (WE) nr 1272/2008 z dnia 16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grudnia 2008 r. w sprawie klasyfikacji, oznakowania i pakowania substancji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i mieszanin, zmieniające i uchylające dyrektywy 67/548/EWG i 1999/45/WE oraz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 xml:space="preserve">zmieniające rozporządzenie (WE) nr 1907/2006 z 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późn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>. zm.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OpenSymbol" w:hAnsi="OpenSymbol" w:cs="OpenSymbol"/>
          <w:color w:val="000000"/>
          <w:sz w:val="20"/>
          <w:szCs w:val="20"/>
        </w:rPr>
        <w:t xml:space="preserve">• </w:t>
      </w:r>
      <w:r w:rsidRPr="00445EE2">
        <w:rPr>
          <w:rFonts w:ascii="Verdana" w:hAnsi="Verdana" w:cs="Verdana"/>
          <w:color w:val="000000"/>
          <w:sz w:val="20"/>
          <w:szCs w:val="20"/>
        </w:rPr>
        <w:t>Rozporządzenie Komisji (UE) nr 453/2010 z dnia 20 maja 2010 r. zmieniające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rozporządzenie (WE) nr 1907/2006 Parlamentu Europejskiego i Rady w sprawie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rejestracji, oceny, udzielania zezwoleń i stosowanych ograniczeń w zakresie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chemikaliów (REACH).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OpenSymbol" w:hAnsi="OpenSymbol" w:cs="OpenSymbol"/>
          <w:color w:val="000000"/>
          <w:sz w:val="20"/>
          <w:szCs w:val="20"/>
        </w:rPr>
        <w:t xml:space="preserve">• </w:t>
      </w:r>
      <w:r w:rsidRPr="00445EE2">
        <w:rPr>
          <w:rFonts w:ascii="Verdana" w:hAnsi="Verdana" w:cs="Verdana"/>
          <w:color w:val="000000"/>
          <w:sz w:val="20"/>
          <w:szCs w:val="20"/>
        </w:rPr>
        <w:t>Dyrektywa Parlamentu Europejskiego i Rady 2008/98/WE z dnia 19 listopada 2008r.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 xml:space="preserve">w sprawie odpadów oraz uchylająca niektóre dyrektywy z 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późn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>. zm.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OpenSymbol" w:hAnsi="OpenSymbol" w:cs="OpenSymbol"/>
          <w:color w:val="000000"/>
          <w:sz w:val="20"/>
          <w:szCs w:val="20"/>
        </w:rPr>
        <w:t xml:space="preserve">• </w:t>
      </w:r>
      <w:r w:rsidRPr="00445EE2">
        <w:rPr>
          <w:rFonts w:ascii="Verdana" w:hAnsi="Verdana" w:cs="Verdana"/>
          <w:color w:val="000000"/>
          <w:sz w:val="20"/>
          <w:szCs w:val="20"/>
        </w:rPr>
        <w:t>Dyrektywa Parlamentu Europejskiego i Rady 94/62/WE z dnia 20 grudnia 1994r.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 xml:space="preserve">w sprawie opakowań i odpadów opakowaniowych z </w:t>
      </w:r>
      <w:proofErr w:type="spellStart"/>
      <w:r w:rsidRPr="00445EE2">
        <w:rPr>
          <w:rFonts w:ascii="Verdana" w:hAnsi="Verdana" w:cs="Verdana"/>
          <w:color w:val="000000"/>
          <w:sz w:val="20"/>
          <w:szCs w:val="20"/>
        </w:rPr>
        <w:t>późn.zm</w:t>
      </w:r>
      <w:proofErr w:type="spellEnd"/>
      <w:r w:rsidRPr="00445EE2">
        <w:rPr>
          <w:rFonts w:ascii="Verdana" w:hAnsi="Verdana" w:cs="Verdana"/>
          <w:color w:val="000000"/>
          <w:sz w:val="20"/>
          <w:szCs w:val="20"/>
        </w:rPr>
        <w:t>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color w:val="000000"/>
          <w:sz w:val="20"/>
          <w:szCs w:val="20"/>
        </w:rPr>
      </w:pPr>
      <w:r w:rsidRPr="00445EE2">
        <w:rPr>
          <w:rFonts w:ascii="Verdana-Bold" w:hAnsi="Verdana-Bold" w:cs="Verdana-Bold"/>
          <w:b/>
          <w:bCs/>
          <w:color w:val="000000"/>
          <w:sz w:val="20"/>
          <w:szCs w:val="20"/>
        </w:rPr>
        <w:t>15.2 Ocena bezpieczeństwa chemicznego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Brak danych na temat dokonania oceny bezpieczeństwa chemicznego produktu.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</w:pPr>
      <w:r w:rsidRPr="00445EE2"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>________________________________________________________________</w:t>
      </w:r>
    </w:p>
    <w:p w:rsidR="006B78DF" w:rsidRDefault="006B78DF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 w:rsidRPr="00445EE2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SEKCJA 16: INNE INFORMACJE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Pełen tekst zwrotów R i H z sekcji 3: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R 22 – Działa szkodliwie po połknięciu.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R 40 – Ograniczone dowody działania rakotwórczego;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R 51/53 – Działa toksycznie na organizmy wodne; może powodować długo utrzymujące się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niekorzystne zmiany w środowisku wodnym.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R 63 – Możliwe ryzyko szkodliwego działania na dziecko w łonie matki.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H302 – Działa szkodliwie po połknięciu.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H351 – Podejrzewa się, że powoduje raka.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H361d - Podejrzewa się, że działa szkodliwie na dziecko w łonie matki.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H411 – Działa toksycznie na organizmy wodne, powodując długotrwałe skutki.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H412 - Działa szkodliwie na organizmy wodne, powodując długotrwałe skutki.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Porady szkoleniowe: Przed użyciem zapoznać się z kartą charakterystyki.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Niniejsza karta została opracowana na podstawie naszej wiedzy i obowiązujących przepisów.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Informacje zamieszczone w karcie charakterystyki mają na celu opisanie produktu jedynie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z punktu wymagań bezpieczeństwa i nie mogą być traktowane jako gwarancja właściwości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produktu. Użytkownik jest odpowiedzialny za stworzenie warunków bezpiecznego używania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produktu i to on bierze na siebie odpowiedzialność za skutki wynikające z niewłaściwego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stosowania niniejszego produktu.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Pracodawca zobowiązany jest do poinformowania pracowników o zagrożeniach i środkach</w:t>
      </w:r>
    </w:p>
    <w:p w:rsidR="00445EE2" w:rsidRPr="00445EE2" w:rsidRDefault="00445EE2" w:rsidP="00445EE2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445EE2">
        <w:rPr>
          <w:rFonts w:ascii="Verdana" w:hAnsi="Verdana" w:cs="Verdana"/>
          <w:color w:val="000000"/>
          <w:sz w:val="20"/>
          <w:szCs w:val="20"/>
        </w:rPr>
        <w:t>ochrony osobistej podanych w karcie charakterystyki.</w:t>
      </w:r>
    </w:p>
    <w:p w:rsidR="00535C24" w:rsidRDefault="006B78DF" w:rsidP="00445EE2"/>
    <w:sectPr w:rsidR="00535C24" w:rsidSect="003036C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5EE2" w:rsidRDefault="00445EE2" w:rsidP="00445EE2">
      <w:pPr>
        <w:spacing w:after="0" w:line="240" w:lineRule="auto"/>
      </w:pPr>
      <w:r>
        <w:separator/>
      </w:r>
    </w:p>
  </w:endnote>
  <w:endnote w:type="continuationSeparator" w:id="0">
    <w:p w:rsidR="00445EE2" w:rsidRDefault="00445EE2" w:rsidP="00445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-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-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OpenSymbol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-BoldItalic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5EE2" w:rsidRDefault="00445EE2" w:rsidP="00445EE2">
      <w:pPr>
        <w:spacing w:after="0" w:line="240" w:lineRule="auto"/>
      </w:pPr>
      <w:r>
        <w:separator/>
      </w:r>
    </w:p>
  </w:footnote>
  <w:footnote w:type="continuationSeparator" w:id="0">
    <w:p w:rsidR="00445EE2" w:rsidRDefault="00445EE2" w:rsidP="00445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EE2" w:rsidRPr="00445EE2" w:rsidRDefault="00445EE2" w:rsidP="00445EE2">
    <w:pPr>
      <w:autoSpaceDE w:val="0"/>
      <w:autoSpaceDN w:val="0"/>
      <w:adjustRightInd w:val="0"/>
      <w:spacing w:after="0" w:line="240" w:lineRule="auto"/>
      <w:rPr>
        <w:rFonts w:ascii="TimesNewRomanPS-BoldMT" w:hAnsi="TimesNewRomanPS-BoldMT" w:cs="TimesNewRomanPS-BoldMT"/>
        <w:b/>
        <w:bCs/>
        <w:color w:val="000000"/>
        <w:sz w:val="28"/>
        <w:szCs w:val="28"/>
      </w:rPr>
    </w:pPr>
    <w:r w:rsidRPr="00445EE2">
      <w:rPr>
        <w:rFonts w:ascii="TimesNewRomanPS-BoldMT" w:hAnsi="TimesNewRomanPS-BoldMT" w:cs="TimesNewRomanPS-BoldMT"/>
        <w:b/>
        <w:bCs/>
        <w:color w:val="000000"/>
        <w:sz w:val="28"/>
        <w:szCs w:val="28"/>
      </w:rPr>
      <w:t>KARTA CHARAKTERYSTYKI PREPARATU</w:t>
    </w:r>
  </w:p>
  <w:p w:rsidR="00445EE2" w:rsidRPr="00445EE2" w:rsidRDefault="00445EE2" w:rsidP="00445EE2">
    <w:pPr>
      <w:autoSpaceDE w:val="0"/>
      <w:autoSpaceDN w:val="0"/>
      <w:adjustRightInd w:val="0"/>
      <w:spacing w:after="0" w:line="240" w:lineRule="auto"/>
      <w:rPr>
        <w:rFonts w:ascii="TimesNewRomanPS-BoldItalicMT" w:hAnsi="TimesNewRomanPS-BoldItalicMT" w:cs="TimesNewRomanPS-BoldItalicMT"/>
        <w:b/>
        <w:bCs/>
        <w:i/>
        <w:iCs/>
        <w:color w:val="000000"/>
        <w:sz w:val="24"/>
        <w:szCs w:val="24"/>
      </w:rPr>
    </w:pPr>
    <w:r w:rsidRPr="00445EE2">
      <w:rPr>
        <w:rFonts w:ascii="TimesNewRomanPS-BoldItalicMT" w:hAnsi="TimesNewRomanPS-BoldItalicMT" w:cs="TimesNewRomanPS-BoldItalicMT"/>
        <w:b/>
        <w:bCs/>
        <w:i/>
        <w:iCs/>
        <w:color w:val="000000"/>
        <w:sz w:val="24"/>
        <w:szCs w:val="24"/>
      </w:rPr>
      <w:t xml:space="preserve">Na podstawie rozporządzenia nr 1907/2006/WE (REACH) z </w:t>
    </w:r>
    <w:proofErr w:type="spellStart"/>
    <w:r w:rsidRPr="00445EE2">
      <w:rPr>
        <w:rFonts w:ascii="TimesNewRomanPS-BoldItalicMT" w:hAnsi="TimesNewRomanPS-BoldItalicMT" w:cs="TimesNewRomanPS-BoldItalicMT"/>
        <w:b/>
        <w:bCs/>
        <w:i/>
        <w:iCs/>
        <w:color w:val="000000"/>
        <w:sz w:val="24"/>
        <w:szCs w:val="24"/>
      </w:rPr>
      <w:t>późn</w:t>
    </w:r>
    <w:proofErr w:type="spellEnd"/>
    <w:r w:rsidRPr="00445EE2">
      <w:rPr>
        <w:rFonts w:ascii="TimesNewRomanPS-BoldItalicMT" w:hAnsi="TimesNewRomanPS-BoldItalicMT" w:cs="TimesNewRomanPS-BoldItalicMT"/>
        <w:b/>
        <w:bCs/>
        <w:i/>
        <w:iCs/>
        <w:color w:val="000000"/>
        <w:sz w:val="24"/>
        <w:szCs w:val="24"/>
      </w:rPr>
      <w:t>. zm.</w:t>
    </w:r>
  </w:p>
  <w:p w:rsidR="00445EE2" w:rsidRPr="00445EE2" w:rsidRDefault="00445EE2" w:rsidP="00445EE2">
    <w:pPr>
      <w:autoSpaceDE w:val="0"/>
      <w:autoSpaceDN w:val="0"/>
      <w:adjustRightInd w:val="0"/>
      <w:spacing w:after="0" w:line="240" w:lineRule="auto"/>
      <w:rPr>
        <w:rFonts w:ascii="TimesNewRomanPSMT" w:hAnsi="TimesNewRomanPSMT" w:cs="TimesNewRomanPSMT"/>
        <w:color w:val="000000"/>
        <w:sz w:val="20"/>
        <w:szCs w:val="20"/>
      </w:rPr>
    </w:pPr>
    <w:r w:rsidRPr="00445EE2">
      <w:rPr>
        <w:rFonts w:ascii="TimesNewRomanPSMT" w:hAnsi="TimesNewRomanPSMT" w:cs="TimesNewRomanPSMT"/>
        <w:color w:val="000000"/>
        <w:sz w:val="20"/>
        <w:szCs w:val="20"/>
      </w:rPr>
      <w:t>Data sporządzenia: 17.07.2014r.</w:t>
    </w:r>
  </w:p>
  <w:p w:rsidR="00445EE2" w:rsidRDefault="00445EE2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45EE2"/>
    <w:rsid w:val="003036C9"/>
    <w:rsid w:val="00445EE2"/>
    <w:rsid w:val="004D77FD"/>
    <w:rsid w:val="006B78DF"/>
    <w:rsid w:val="006D4E75"/>
    <w:rsid w:val="00E8732B"/>
    <w:rsid w:val="00F251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36C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445E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45EE2"/>
  </w:style>
  <w:style w:type="paragraph" w:styleId="Stopka">
    <w:name w:val="footer"/>
    <w:basedOn w:val="Normalny"/>
    <w:link w:val="StopkaZnak"/>
    <w:uiPriority w:val="99"/>
    <w:semiHidden/>
    <w:unhideWhenUsed/>
    <w:rsid w:val="00445E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445EE2"/>
  </w:style>
  <w:style w:type="character" w:styleId="Hipercze">
    <w:name w:val="Hyperlink"/>
    <w:basedOn w:val="Domylnaczcionkaakapitu"/>
    <w:rsid w:val="006B78D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ex@meex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7</Pages>
  <Words>2443</Words>
  <Characters>14664</Characters>
  <Application>Microsoft Office Word</Application>
  <DocSecurity>0</DocSecurity>
  <Lines>122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2016-07-12T09:59:00Z</dcterms:created>
  <dcterms:modified xsi:type="dcterms:W3CDTF">2016-07-12T10:45:00Z</dcterms:modified>
</cp:coreProperties>
</file>