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B54E6" w:rsidRDefault="00BB54E6" w:rsidP="00BB54E6">
      <w:pPr>
        <w:rPr>
          <w:rFonts w:cstheme="minorHAnsi"/>
          <w:sz w:val="24"/>
          <w:szCs w:val="24"/>
          <w:lang w:val="pl-PL"/>
        </w:rPr>
      </w:pPr>
      <w:r>
        <w:rPr>
          <w:rFonts w:cstheme="minorHAnsi"/>
          <w:sz w:val="24"/>
          <w:szCs w:val="24"/>
          <w:lang w:val="pl-PL"/>
        </w:rPr>
        <w:t>Załącznik nr 3 do aneksu nr 1 do umowy z dnia 10.05.2018r.</w:t>
      </w:r>
    </w:p>
    <w:p w:rsidR="00BB54E6" w:rsidRDefault="00BB54E6" w:rsidP="00BB54E6">
      <w:pPr>
        <w:rPr>
          <w:rFonts w:cstheme="minorHAnsi"/>
          <w:sz w:val="24"/>
          <w:szCs w:val="24"/>
          <w:lang w:val="pl-PL"/>
        </w:rPr>
      </w:pPr>
      <w:r>
        <w:rPr>
          <w:rFonts w:cstheme="minorHAnsi"/>
          <w:sz w:val="24"/>
          <w:szCs w:val="24"/>
          <w:lang w:val="pl-PL"/>
        </w:rPr>
        <w:t xml:space="preserve">Karta techniczna </w:t>
      </w:r>
    </w:p>
    <w:p w:rsidR="000E73B4" w:rsidRPr="000E73B4" w:rsidRDefault="000E73B4" w:rsidP="000E73B4">
      <w:pPr>
        <w:rPr>
          <w:rFonts w:ascii="Calibri" w:eastAsia="Calibri" w:hAnsi="Calibri" w:cs="Calibri"/>
          <w:b/>
          <w:bCs/>
          <w:color w:val="FF0000"/>
          <w:sz w:val="40"/>
          <w:szCs w:val="40"/>
          <w:lang w:val="pl-PL"/>
        </w:rPr>
      </w:pPr>
      <w:r w:rsidRPr="000E73B4">
        <w:rPr>
          <w:rFonts w:cstheme="minorHAnsi"/>
          <w:b/>
          <w:bCs/>
          <w:color w:val="FF0000"/>
          <w:sz w:val="40"/>
          <w:szCs w:val="40"/>
          <w:lang w:val="pl"/>
        </w:rPr>
        <w:t>GOLDMURIT</w:t>
      </w:r>
      <w:r w:rsidR="007176BE" w:rsidRPr="000E73B4">
        <w:rPr>
          <w:rFonts w:cstheme="minorHAnsi"/>
          <w:b/>
          <w:bCs/>
          <w:color w:val="FF0000"/>
          <w:sz w:val="40"/>
          <w:szCs w:val="40"/>
          <w:lang w:val="pl"/>
        </w:rPr>
        <w:t xml:space="preserve"> </w:t>
      </w:r>
      <w:r w:rsidRPr="000E73B4">
        <w:rPr>
          <w:b/>
          <w:bCs/>
          <w:color w:val="FF0000"/>
          <w:sz w:val="40"/>
          <w:szCs w:val="40"/>
        </w:rPr>
        <w:t>RENO-DACH grunt antykorozyjny – formuła rozcieńczalnikowa</w:t>
      </w:r>
    </w:p>
    <w:p w:rsidR="00A07F57" w:rsidRPr="0047605E" w:rsidRDefault="00A07F57" w:rsidP="000E73B4">
      <w:pPr>
        <w:spacing w:after="0" w:line="240" w:lineRule="auto"/>
        <w:ind w:left="-284"/>
        <w:rPr>
          <w:rFonts w:cstheme="minorHAnsi"/>
          <w:sz w:val="20"/>
          <w:szCs w:val="20"/>
        </w:rPr>
      </w:pPr>
    </w:p>
    <w:tbl>
      <w:tblPr>
        <w:tblStyle w:val="Tabela-Siatka"/>
        <w:tblW w:w="10207" w:type="dxa"/>
        <w:tblInd w:w="-289" w:type="dxa"/>
        <w:tblLook w:val="04A0" w:firstRow="1" w:lastRow="0" w:firstColumn="1" w:lastColumn="0" w:noHBand="0" w:noVBand="1"/>
      </w:tblPr>
      <w:tblGrid>
        <w:gridCol w:w="2552"/>
        <w:gridCol w:w="7655"/>
      </w:tblGrid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516533" w:rsidRPr="00BF5EAD" w:rsidRDefault="00516533" w:rsidP="00516533">
            <w:pPr>
              <w:spacing w:before="40" w:after="40"/>
              <w:rPr>
                <w:rFonts w:cstheme="minorHAnsi"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Właściwości i aplikacja</w:t>
            </w:r>
          </w:p>
        </w:tc>
        <w:tc>
          <w:tcPr>
            <w:tcW w:w="7655" w:type="dxa"/>
          </w:tcPr>
          <w:p w:rsidR="00034E1A" w:rsidRPr="00BF5EAD" w:rsidRDefault="00516533" w:rsidP="00034E1A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"/>
              </w:rPr>
              <w:t xml:space="preserve">Jednoskładnikowa powłoka na bazie miki żelaznej i modyfikowanego spoiwa, </w:t>
            </w:r>
            <w:r w:rsidR="005A397C" w:rsidRPr="00BF5EAD">
              <w:rPr>
                <w:rFonts w:cstheme="minorHAnsi"/>
                <w:lang w:val="pl"/>
              </w:rPr>
              <w:t xml:space="preserve">        </w:t>
            </w:r>
            <w:r w:rsidRPr="00BF5EAD">
              <w:rPr>
                <w:rFonts w:cstheme="minorHAnsi"/>
                <w:lang w:val="pl"/>
              </w:rPr>
              <w:t>o dobrej odporności na warunki atmosferyczne i doskonałej przyczepności do żeliwnych oraz zwietrzałych, ocynkowanych powierzchni.</w:t>
            </w:r>
            <w:r w:rsidR="00DC2374" w:rsidRPr="00BF5EAD">
              <w:rPr>
                <w:rFonts w:cstheme="minorHAnsi"/>
                <w:lang w:val="pl"/>
              </w:rPr>
              <w:t xml:space="preserve"> </w:t>
            </w:r>
            <w:r w:rsidRPr="00BF5EAD">
              <w:rPr>
                <w:rFonts w:cstheme="minorHAnsi"/>
                <w:lang w:val="pl"/>
              </w:rPr>
              <w:t>Powłoka antykorozyjna do powierzchni żeliwnych i zwietrzałych, ocynkowanych ogniowo. Nadaje się w szczególności do pokryć dachowych.</w:t>
            </w:r>
            <w:r w:rsidR="00034E1A" w:rsidRPr="00BF5EAD">
              <w:rPr>
                <w:rFonts w:cstheme="minorHAnsi"/>
                <w:lang w:val="pl-PL"/>
              </w:rPr>
              <w:t xml:space="preserve"> </w:t>
            </w:r>
          </w:p>
          <w:p w:rsidR="00516533" w:rsidRPr="00BF5EAD" w:rsidRDefault="001F46E3" w:rsidP="00141849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>Grunt</w:t>
            </w:r>
            <w:r w:rsidR="00034E1A" w:rsidRPr="00BF5EAD">
              <w:rPr>
                <w:rFonts w:cstheme="minorHAnsi"/>
                <w:lang w:val="pl-PL"/>
              </w:rPr>
              <w:t xml:space="preserve"> nadaje się również do renowacji starych powłok poliwinylowych, epoksydowych, poliuretanowych, akrylowych, chlorokauczukowych. Zalecan</w:t>
            </w:r>
            <w:r w:rsidR="004B1123" w:rsidRPr="00BF5EAD">
              <w:rPr>
                <w:rFonts w:cstheme="minorHAnsi"/>
                <w:lang w:val="pl-PL"/>
              </w:rPr>
              <w:t>y</w:t>
            </w:r>
            <w:r w:rsidR="00034E1A" w:rsidRPr="00BF5EAD">
              <w:rPr>
                <w:rFonts w:cstheme="minorHAnsi"/>
                <w:lang w:val="pl-PL"/>
              </w:rPr>
              <w:t xml:space="preserve"> do stosowania w zestawie z emalią winylowo-akrylową </w:t>
            </w:r>
            <w:r w:rsidR="00BF600C" w:rsidRPr="00BF5EAD">
              <w:rPr>
                <w:rFonts w:cstheme="minorHAnsi"/>
              </w:rPr>
              <w:t xml:space="preserve">GOLDMURIT RENO-DACH farba do blach dachowych – formuła rozcieńczalnikowa. </w:t>
            </w:r>
            <w:r w:rsidR="0067716C" w:rsidRPr="00BF5EAD">
              <w:rPr>
                <w:rFonts w:cstheme="minorHAnsi"/>
                <w:lang w:val="pl"/>
              </w:rPr>
              <w:t>Jednoskładnikowy podkład na bazie modyfikowanego spoiwa i tlenku żelazowego blaszkowatego o wysokiej odporności na działanie warunków atmosferycznych i wody oraz doskonałej przyczepności do powierzchni stalowych</w:t>
            </w:r>
            <w:r w:rsidR="00DC2374" w:rsidRPr="00BF5EAD">
              <w:rPr>
                <w:rFonts w:cstheme="minorHAnsi"/>
                <w:lang w:val="pl"/>
              </w:rPr>
              <w:t xml:space="preserve"> </w:t>
            </w:r>
            <w:r w:rsidR="0067716C" w:rsidRPr="00BF5EAD">
              <w:rPr>
                <w:rFonts w:cstheme="minorHAnsi"/>
                <w:lang w:val="pl"/>
              </w:rPr>
              <w:t>oraz zwietrzałych, ocynkowanych powierzchni. Produkt wykorzystywany jako powłoka antykorozyjna do stali i zwietrzałych powierzchni ocynkowanych ogniowo. Produkt odpowiedni w szczególności do systemów pokryć dachowych.</w:t>
            </w:r>
            <w:r w:rsidR="00A2521F" w:rsidRPr="00BF5EAD">
              <w:rPr>
                <w:rFonts w:cstheme="minorHAnsi"/>
                <w:lang w:val="pl"/>
              </w:rPr>
              <w:t xml:space="preserve"> </w:t>
            </w:r>
            <w:r w:rsidR="00C0789E" w:rsidRPr="00BF5EAD">
              <w:rPr>
                <w:rFonts w:cstheme="minorHAnsi"/>
                <w:lang w:val="pl"/>
              </w:rPr>
              <w:t>Powierzchnie pokryte korozją należy uprzednio wyczyścić.</w:t>
            </w:r>
          </w:p>
          <w:p w:rsidR="00501750" w:rsidRPr="00BF5EAD" w:rsidRDefault="00501750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516533" w:rsidRPr="00BF5EAD" w:rsidRDefault="00516533" w:rsidP="00516533">
            <w:pPr>
              <w:spacing w:before="40" w:after="40"/>
              <w:rPr>
                <w:rFonts w:cstheme="minorHAnsi"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Odcienie</w:t>
            </w:r>
          </w:p>
        </w:tc>
        <w:tc>
          <w:tcPr>
            <w:tcW w:w="7655" w:type="dxa"/>
          </w:tcPr>
          <w:p w:rsidR="00516533" w:rsidRPr="00BF5EAD" w:rsidRDefault="00516533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  <w:lang w:val="pl"/>
              </w:rPr>
              <w:t>Zielonkawa szarość.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C925D5" w:rsidRPr="00BF5EAD" w:rsidRDefault="00C925D5" w:rsidP="00C925D5">
            <w:pPr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Klasa emisji VOC</w:t>
            </w:r>
          </w:p>
        </w:tc>
        <w:tc>
          <w:tcPr>
            <w:tcW w:w="7655" w:type="dxa"/>
          </w:tcPr>
          <w:p w:rsidR="00501750" w:rsidRPr="00BF5EAD" w:rsidRDefault="001E4641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  <w:lang w:val="pl"/>
              </w:rPr>
              <w:t xml:space="preserve"> A(i), 500 g/l (2010). Produkt zawiera maksymalnie 500 g/l lotnych związków organicznych.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Okres trwałości</w:t>
            </w:r>
          </w:p>
        </w:tc>
        <w:tc>
          <w:tcPr>
            <w:tcW w:w="7655" w:type="dxa"/>
          </w:tcPr>
          <w:p w:rsidR="00501750" w:rsidRPr="00BF5EAD" w:rsidRDefault="004403D8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  <w:lang w:val="pl"/>
              </w:rPr>
              <w:t>2 lata w temperaturze przechowania pomiędzy + 5 °C a + 30 °C w oryginalnie zamkniętym opakowaniu.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Wydajność</w:t>
            </w:r>
          </w:p>
        </w:tc>
        <w:tc>
          <w:tcPr>
            <w:tcW w:w="7655" w:type="dxa"/>
          </w:tcPr>
          <w:p w:rsidR="00501750" w:rsidRPr="00BF5EAD" w:rsidRDefault="008C4DB0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  <w:lang w:val="pl"/>
              </w:rPr>
              <w:t>ok. 10-12 m2/l w jednej warstwie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Schnie w temperaturze 23 °C i 60 % wilgotności względnej</w:t>
            </w:r>
          </w:p>
        </w:tc>
        <w:tc>
          <w:tcPr>
            <w:tcW w:w="7655" w:type="dxa"/>
          </w:tcPr>
          <w:p w:rsidR="00501750" w:rsidRPr="00BF5EAD" w:rsidRDefault="004403D8" w:rsidP="007176BE">
            <w:pPr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  <w:lang w:val="pl"/>
              </w:rPr>
              <w:t>Suchość pyłowa po ok. 15 minutach, suchość całkowita po ok. 30 minutach, ponowne malowanie po 1-2 godzinach.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Rozcieńczanie</w:t>
            </w:r>
          </w:p>
        </w:tc>
        <w:tc>
          <w:tcPr>
            <w:tcW w:w="7655" w:type="dxa"/>
          </w:tcPr>
          <w:p w:rsidR="00501750" w:rsidRPr="00BF5EAD" w:rsidRDefault="004403D8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  <w:lang w:val="pl"/>
              </w:rPr>
              <w:t>Nie ma konieczności rozcieńczania. Narzędzia powinny być czyszczone rozcieńczalnikiem NITRO.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Aplikacja</w:t>
            </w:r>
          </w:p>
        </w:tc>
        <w:tc>
          <w:tcPr>
            <w:tcW w:w="7655" w:type="dxa"/>
          </w:tcPr>
          <w:p w:rsidR="00501750" w:rsidRPr="00BF5EAD" w:rsidRDefault="004403D8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  <w:lang w:val="pl"/>
              </w:rPr>
              <w:t>Pędzel, wałek lub natrysk (typu airless).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Instrukcja użytkowania</w:t>
            </w:r>
          </w:p>
        </w:tc>
        <w:tc>
          <w:tcPr>
            <w:tcW w:w="7655" w:type="dxa"/>
          </w:tcPr>
          <w:p w:rsidR="005051E6" w:rsidRPr="00BF5EAD" w:rsidRDefault="005051E6" w:rsidP="005051E6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>Każde podłoże przygotowane do malowania powinno być suche, pozbawione tłuszczu,</w:t>
            </w:r>
            <w:r w:rsidR="000C6C87" w:rsidRPr="00BF5EAD">
              <w:rPr>
                <w:rFonts w:cstheme="minorHAnsi"/>
                <w:lang w:val="pl-PL"/>
              </w:rPr>
              <w:t xml:space="preserve"> </w:t>
            </w:r>
            <w:r w:rsidRPr="00BF5EAD">
              <w:rPr>
                <w:rFonts w:cstheme="minorHAnsi"/>
                <w:lang w:val="pl-PL"/>
              </w:rPr>
              <w:t>soli, kurzu, produktów korozji oraz wszelkich pozostałych zanieczyszczeń. Podłoże stalowe -</w:t>
            </w:r>
            <w:r w:rsidR="000C6C87" w:rsidRPr="00BF5EAD">
              <w:rPr>
                <w:rFonts w:cstheme="minorHAnsi"/>
                <w:lang w:val="pl-PL"/>
              </w:rPr>
              <w:t xml:space="preserve"> </w:t>
            </w:r>
            <w:r w:rsidRPr="00BF5EAD">
              <w:rPr>
                <w:rFonts w:cstheme="minorHAnsi"/>
                <w:lang w:val="pl-PL"/>
              </w:rPr>
              <w:t>należy odtłuścić i oczyścić do stopnia St 2 lub</w:t>
            </w:r>
            <w:r w:rsidR="005A397C" w:rsidRPr="00BF5EAD">
              <w:rPr>
                <w:rFonts w:cstheme="minorHAnsi"/>
                <w:lang w:val="pl-PL"/>
              </w:rPr>
              <w:t xml:space="preserve">   </w:t>
            </w:r>
            <w:r w:rsidRPr="00BF5EAD">
              <w:rPr>
                <w:rFonts w:cstheme="minorHAnsi"/>
                <w:lang w:val="pl-PL"/>
              </w:rPr>
              <w:t xml:space="preserve"> St 3 wg PN-EN ISO 8501-1 i PN-EN ISO 12944-4.</w:t>
            </w:r>
          </w:p>
          <w:p w:rsidR="005051E6" w:rsidRPr="00BF5EAD" w:rsidRDefault="005051E6" w:rsidP="005051E6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>Możliwe jest w tym celu zastosowanie metod: szlifowania, szczotkowania, dłutowania lub skrobania.</w:t>
            </w:r>
          </w:p>
          <w:p w:rsidR="005051E6" w:rsidRPr="00BF5EAD" w:rsidRDefault="005051E6" w:rsidP="005051E6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 xml:space="preserve"> Podłoże ocynkowane - nowe konstrukcje stalowe ocynkowane zanurzeniowo na gorąco należy malować po schropowaceniu powierzchni lub omieceniu miękkim ścierniwem do</w:t>
            </w:r>
            <w:r w:rsidR="00141849" w:rsidRPr="00BF5EAD">
              <w:rPr>
                <w:rFonts w:cstheme="minorHAnsi"/>
                <w:lang w:val="pl-PL"/>
              </w:rPr>
              <w:t xml:space="preserve"> </w:t>
            </w:r>
            <w:r w:rsidRPr="00BF5EAD">
              <w:rPr>
                <w:rFonts w:cstheme="minorHAnsi"/>
                <w:lang w:val="pl-PL"/>
              </w:rPr>
              <w:t>uzyskania matowej powierzchni, co poprawia znacznie przyczepność powłoki lakierowej. Podłoże ocynkowane matowe, wysezonowane pod wpływem atmosferaliów, należy oczyścić przez</w:t>
            </w:r>
            <w:r w:rsidR="00141849" w:rsidRPr="00BF5EAD">
              <w:rPr>
                <w:rFonts w:cstheme="minorHAnsi"/>
                <w:lang w:val="pl-PL"/>
              </w:rPr>
              <w:t xml:space="preserve"> </w:t>
            </w:r>
            <w:r w:rsidRPr="00BF5EAD">
              <w:rPr>
                <w:rFonts w:cstheme="minorHAnsi"/>
                <w:lang w:val="pl-PL"/>
              </w:rPr>
              <w:t>usunięcie produktów korozji cynku (tzw. „białej rdzy”) i wszelkich innych zanieczyszczeń.</w:t>
            </w:r>
          </w:p>
          <w:p w:rsidR="005051E6" w:rsidRPr="00BF5EAD" w:rsidRDefault="005051E6" w:rsidP="005051E6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lastRenderedPageBreak/>
              <w:t>Czyszczenie można przeprowadzić przez omiatanie miękkim ścierniwem, szlifowanie papierem ściernym nr 120 (ręcznie lub przy pomocy narzędzi mechanicznych), mycie wodą ze środkiem</w:t>
            </w:r>
          </w:p>
          <w:p w:rsidR="005051E6" w:rsidRPr="00BF5EAD" w:rsidRDefault="005051E6" w:rsidP="005051E6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>powierzchniowo-czynnym np. przy użyciu myjek ciśnieniowych, metodą ręczno-mechaniczną (np. przy pomocy szczotek nylonowych z twardego włosia), albo mycie rozpuszczalnikami organicznymi (np. benzyną ekstrakcyjną) z użyciem szmat, pędzli lub włóknin</w:t>
            </w:r>
          </w:p>
          <w:p w:rsidR="005051E6" w:rsidRPr="00BF5EAD" w:rsidRDefault="005051E6" w:rsidP="005051E6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>syntetycznych z osadzonym ścierniwem. Należy przy tym zachować szczególną ostrożność, aby nie uszkodzić warstwy cynku. Po czyszczeniu/myciu zaleca się dokładne płukanie powierzchni</w:t>
            </w:r>
          </w:p>
          <w:p w:rsidR="005051E6" w:rsidRPr="00BF5EAD" w:rsidRDefault="005051E6" w:rsidP="005051E6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>czystą wodą i wysuszenie.</w:t>
            </w:r>
          </w:p>
          <w:p w:rsidR="000E73B4" w:rsidRPr="00BF5EAD" w:rsidRDefault="005051E6" w:rsidP="000E73B4">
            <w:pPr>
              <w:rPr>
                <w:rFonts w:eastAsia="Calibri" w:cstheme="minorHAnsi"/>
                <w:lang w:val="pl-PL"/>
              </w:rPr>
            </w:pPr>
            <w:r w:rsidRPr="00BF5EAD">
              <w:rPr>
                <w:rFonts w:cstheme="minorHAnsi"/>
                <w:b/>
                <w:bCs/>
                <w:lang w:val="pl-PL"/>
              </w:rPr>
              <w:t>Renowacja</w:t>
            </w:r>
            <w:r w:rsidRPr="00BF5EAD">
              <w:rPr>
                <w:rFonts w:cstheme="minorHAnsi"/>
                <w:lang w:val="pl-PL"/>
              </w:rPr>
              <w:t>: podłoże przed malowaniem należy umyć i odtłuścić, usunąć luźne elementy starej powłoki malarskiej oraz ślady korozji; miejsca</w:t>
            </w:r>
            <w:r w:rsidR="00034E1A" w:rsidRPr="00BF5EAD">
              <w:rPr>
                <w:rFonts w:cstheme="minorHAnsi"/>
                <w:lang w:val="pl-PL"/>
              </w:rPr>
              <w:t xml:space="preserve"> </w:t>
            </w:r>
            <w:r w:rsidRPr="00BF5EAD">
              <w:rPr>
                <w:rFonts w:cstheme="minorHAnsi"/>
                <w:lang w:val="pl-PL"/>
              </w:rPr>
              <w:t xml:space="preserve"> skorodowane oczyścić do stopnia St 2 lub St 3 wg</w:t>
            </w:r>
            <w:r w:rsidR="00034E1A" w:rsidRPr="00BF5EAD">
              <w:rPr>
                <w:rFonts w:cstheme="minorHAnsi"/>
                <w:lang w:val="pl-PL"/>
              </w:rPr>
              <w:t xml:space="preserve"> PN-EN ISO 8501-1, odpylić, a następnie zagruntować farbą  </w:t>
            </w:r>
            <w:r w:rsidR="00141849" w:rsidRPr="00BF5EAD">
              <w:rPr>
                <w:rFonts w:cstheme="minorHAnsi"/>
                <w:lang w:val="pl-PL"/>
              </w:rPr>
              <w:t xml:space="preserve">do gruntowania </w:t>
            </w:r>
            <w:r w:rsidR="000E73B4" w:rsidRPr="00BF5EAD">
              <w:rPr>
                <w:rFonts w:cstheme="minorHAnsi"/>
              </w:rPr>
              <w:t>GOLDMURIT RENO-DACH grunt antykorozyjny – formuła rozcieńczalnikowa</w:t>
            </w:r>
          </w:p>
          <w:p w:rsidR="00034E1A" w:rsidRPr="00BF5EAD" w:rsidRDefault="00034E1A" w:rsidP="00141849">
            <w:pPr>
              <w:autoSpaceDE w:val="0"/>
              <w:autoSpaceDN w:val="0"/>
              <w:adjustRightInd w:val="0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 xml:space="preserve">        </w:t>
            </w:r>
          </w:p>
          <w:p w:rsidR="00141849" w:rsidRPr="00BF5EAD" w:rsidRDefault="00034E1A" w:rsidP="00034E1A">
            <w:pPr>
              <w:ind w:left="-284"/>
              <w:rPr>
                <w:rFonts w:cstheme="minorHAnsi"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 xml:space="preserve">     Stare, dobrze przyczepne do podło</w:t>
            </w:r>
            <w:r w:rsidR="00141849" w:rsidRPr="00BF5EAD">
              <w:rPr>
                <w:rFonts w:cstheme="minorHAnsi"/>
                <w:lang w:val="pl-PL"/>
              </w:rPr>
              <w:t>ż</w:t>
            </w:r>
            <w:r w:rsidRPr="00BF5EAD">
              <w:rPr>
                <w:rFonts w:cstheme="minorHAnsi"/>
                <w:lang w:val="pl-PL"/>
              </w:rPr>
              <w:t>a powłoki</w:t>
            </w:r>
            <w:r w:rsidR="005051E6" w:rsidRPr="00BF5EAD">
              <w:rPr>
                <w:rFonts w:cstheme="minorHAnsi"/>
                <w:lang w:val="pl-PL"/>
              </w:rPr>
              <w:t xml:space="preserve">  nale</w:t>
            </w:r>
            <w:r w:rsidR="005D795B" w:rsidRPr="00BF5EAD">
              <w:rPr>
                <w:rFonts w:cstheme="minorHAnsi"/>
                <w:lang w:val="pl-PL"/>
              </w:rPr>
              <w:t>ż</w:t>
            </w:r>
            <w:r w:rsidR="005051E6" w:rsidRPr="00BF5EAD">
              <w:rPr>
                <w:rFonts w:cstheme="minorHAnsi"/>
                <w:lang w:val="pl-PL"/>
              </w:rPr>
              <w:t>y zszorstkować (np. przez</w:t>
            </w:r>
            <w:r w:rsidRPr="00BF5EAD">
              <w:rPr>
                <w:rFonts w:cstheme="minorHAnsi"/>
                <w:lang w:val="pl-PL"/>
              </w:rPr>
              <w:t xml:space="preserve"> </w:t>
            </w:r>
            <w:r w:rsidR="00141849" w:rsidRPr="00BF5EAD">
              <w:rPr>
                <w:rFonts w:cstheme="minorHAnsi"/>
                <w:lang w:val="pl-PL"/>
              </w:rPr>
              <w:t xml:space="preserve">              </w:t>
            </w:r>
          </w:p>
          <w:p w:rsidR="00501750" w:rsidRPr="00BF5EAD" w:rsidRDefault="00141849" w:rsidP="00141849">
            <w:pPr>
              <w:rPr>
                <w:rFonts w:cstheme="minorHAnsi"/>
                <w:b/>
                <w:lang w:val="pl-PL"/>
              </w:rPr>
            </w:pPr>
            <w:r w:rsidRPr="00BF5EAD">
              <w:rPr>
                <w:rFonts w:cstheme="minorHAnsi"/>
                <w:lang w:val="pl-PL"/>
              </w:rPr>
              <w:t xml:space="preserve">zeszlifowanie  papierem ściernym lub omiecenie ścierniwem, </w:t>
            </w:r>
            <w:r w:rsidR="005051E6" w:rsidRPr="00BF5EAD">
              <w:rPr>
                <w:rFonts w:cstheme="minorHAnsi"/>
                <w:lang w:val="pl-PL"/>
              </w:rPr>
              <w:t xml:space="preserve">a następnie dokładnie </w:t>
            </w:r>
            <w:r w:rsidRPr="00BF5EAD">
              <w:rPr>
                <w:rFonts w:cstheme="minorHAnsi"/>
                <w:lang w:val="pl-PL"/>
              </w:rPr>
              <w:t>odpylić.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lastRenderedPageBreak/>
              <w:t>Propozycja systemu powłokowego</w:t>
            </w:r>
          </w:p>
        </w:tc>
        <w:tc>
          <w:tcPr>
            <w:tcW w:w="7655" w:type="dxa"/>
          </w:tcPr>
          <w:p w:rsidR="000E73B4" w:rsidRPr="00BF5EAD" w:rsidRDefault="007176BE" w:rsidP="000E73B4">
            <w:pPr>
              <w:rPr>
                <w:rFonts w:eastAsia="Calibri" w:cstheme="minorHAnsi"/>
                <w:lang w:val="pl-PL"/>
              </w:rPr>
            </w:pPr>
            <w:r w:rsidRPr="00BF5EAD">
              <w:rPr>
                <w:rFonts w:eastAsia="Calibri" w:cstheme="minorHAnsi"/>
                <w:lang w:val="pl"/>
              </w:rPr>
              <w:t xml:space="preserve">1–2x </w:t>
            </w:r>
            <w:r w:rsidR="000E73B4" w:rsidRPr="00BF5EAD">
              <w:rPr>
                <w:rFonts w:cstheme="minorHAnsi"/>
              </w:rPr>
              <w:t>GOLDMURIT RENO-DACH grunt antykorozyjny – formuła rozcieńczalnikowa</w:t>
            </w:r>
          </w:p>
          <w:p w:rsidR="007176BE" w:rsidRPr="00BF5EAD" w:rsidRDefault="007176BE" w:rsidP="007176BE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</w:rPr>
            </w:pPr>
          </w:p>
          <w:p w:rsidR="00DB5FFC" w:rsidRPr="00BF5EAD" w:rsidRDefault="007176BE" w:rsidP="007176BE">
            <w:pPr>
              <w:autoSpaceDE w:val="0"/>
              <w:autoSpaceDN w:val="0"/>
              <w:adjustRightInd w:val="0"/>
              <w:jc w:val="both"/>
              <w:rPr>
                <w:rFonts w:eastAsia="Calibri" w:cstheme="minorHAnsi"/>
              </w:rPr>
            </w:pPr>
            <w:r w:rsidRPr="00BF5EAD">
              <w:rPr>
                <w:rFonts w:eastAsia="Calibri" w:cstheme="minorHAnsi"/>
                <w:lang w:val="pl"/>
              </w:rPr>
              <w:t xml:space="preserve">1–2x </w:t>
            </w:r>
            <w:r w:rsidR="00A56EF0" w:rsidRPr="00BF5EAD">
              <w:rPr>
                <w:rFonts w:cstheme="minorHAnsi"/>
              </w:rPr>
              <w:t>GOLDMURIT RENO-DACH farba do blach dachowych – formuła rozcieńczalnikowa</w:t>
            </w:r>
            <w:r w:rsidR="00A56EF0" w:rsidRPr="00BF5EAD">
              <w:rPr>
                <w:rFonts w:eastAsia="Calibri" w:cstheme="minorHAnsi"/>
              </w:rPr>
              <w:t xml:space="preserve"> </w:t>
            </w:r>
          </w:p>
        </w:tc>
      </w:tr>
      <w:tr w:rsidR="00BF5EAD" w:rsidRPr="00BF5EAD" w:rsidTr="00141849">
        <w:tc>
          <w:tcPr>
            <w:tcW w:w="2552" w:type="dxa"/>
            <w:shd w:val="clear" w:color="auto" w:fill="F2F2F2" w:themeFill="background1" w:themeFillShade="F2"/>
          </w:tcPr>
          <w:p w:rsidR="00DB5FFC" w:rsidRPr="00BF5EAD" w:rsidRDefault="00DB5FFC" w:rsidP="00DB5FFC">
            <w:pPr>
              <w:autoSpaceDE w:val="0"/>
              <w:autoSpaceDN w:val="0"/>
              <w:adjustRightInd w:val="0"/>
              <w:spacing w:before="40" w:after="40"/>
              <w:rPr>
                <w:rFonts w:cstheme="minorHAnsi"/>
                <w:b/>
                <w:bCs/>
              </w:rPr>
            </w:pPr>
            <w:r w:rsidRPr="00BF5EAD">
              <w:rPr>
                <w:rFonts w:cstheme="minorHAnsi"/>
                <w:b/>
                <w:bCs/>
                <w:lang w:val="pl"/>
              </w:rPr>
              <w:t>Rozmiar opakowania</w:t>
            </w:r>
          </w:p>
        </w:tc>
        <w:tc>
          <w:tcPr>
            <w:tcW w:w="7655" w:type="dxa"/>
          </w:tcPr>
          <w:p w:rsidR="00DB5FFC" w:rsidRPr="00BF5EAD" w:rsidRDefault="000E73B4" w:rsidP="007176B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cstheme="minorHAnsi"/>
              </w:rPr>
            </w:pPr>
            <w:r w:rsidRPr="00BF5EAD">
              <w:rPr>
                <w:rFonts w:cstheme="minorHAnsi"/>
              </w:rPr>
              <w:t>1 L / 2,5 L</w:t>
            </w:r>
          </w:p>
        </w:tc>
      </w:tr>
    </w:tbl>
    <w:p w:rsidR="00AE63A9" w:rsidRPr="0047605E" w:rsidRDefault="00AE63A9" w:rsidP="00AE63A9">
      <w:pPr>
        <w:ind w:left="-284"/>
        <w:rPr>
          <w:rFonts w:cstheme="minorHAnsi"/>
          <w:sz w:val="20"/>
          <w:szCs w:val="20"/>
        </w:rPr>
      </w:pPr>
    </w:p>
    <w:p w:rsidR="00C925D5" w:rsidRPr="0047605E" w:rsidRDefault="0047605E" w:rsidP="00C925D5">
      <w:pPr>
        <w:ind w:left="-284" w:right="-567"/>
        <w:jc w:val="right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lang w:val="pl"/>
        </w:rPr>
        <w:t>Strona 1/1</w:t>
      </w:r>
    </w:p>
    <w:sectPr w:rsidR="00C925D5" w:rsidRPr="0047605E" w:rsidSect="000E73B4">
      <w:pgSz w:w="11906" w:h="16838"/>
      <w:pgMar w:top="993" w:right="1417" w:bottom="1134" w:left="1417" w:header="993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E1BED" w:rsidRDefault="008E1BED" w:rsidP="00FA6D65">
      <w:pPr>
        <w:spacing w:after="0" w:line="240" w:lineRule="auto"/>
      </w:pPr>
      <w:r>
        <w:separator/>
      </w:r>
    </w:p>
  </w:endnote>
  <w:endnote w:type="continuationSeparator" w:id="0">
    <w:p w:rsidR="008E1BED" w:rsidRDefault="008E1BED" w:rsidP="00FA6D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E1BED" w:rsidRDefault="008E1BED" w:rsidP="00FA6D65">
      <w:pPr>
        <w:spacing w:after="0" w:line="240" w:lineRule="auto"/>
      </w:pPr>
      <w:r>
        <w:separator/>
      </w:r>
    </w:p>
  </w:footnote>
  <w:footnote w:type="continuationSeparator" w:id="0">
    <w:p w:rsidR="008E1BED" w:rsidRDefault="008E1BED" w:rsidP="00FA6D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837EA2"/>
    <w:multiLevelType w:val="hybridMultilevel"/>
    <w:tmpl w:val="E1E6B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BE316C"/>
    <w:multiLevelType w:val="hybridMultilevel"/>
    <w:tmpl w:val="63CC1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A505DB"/>
    <w:multiLevelType w:val="hybridMultilevel"/>
    <w:tmpl w:val="92E251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F57"/>
    <w:rsid w:val="00034E1A"/>
    <w:rsid w:val="00037D37"/>
    <w:rsid w:val="00053B8D"/>
    <w:rsid w:val="000629A0"/>
    <w:rsid w:val="000869CE"/>
    <w:rsid w:val="000A5019"/>
    <w:rsid w:val="000C6C87"/>
    <w:rsid w:val="000E073C"/>
    <w:rsid w:val="000E4C4A"/>
    <w:rsid w:val="000E73B4"/>
    <w:rsid w:val="00141849"/>
    <w:rsid w:val="00150BD9"/>
    <w:rsid w:val="00154472"/>
    <w:rsid w:val="00176699"/>
    <w:rsid w:val="001766A6"/>
    <w:rsid w:val="00181786"/>
    <w:rsid w:val="00194E03"/>
    <w:rsid w:val="001D665D"/>
    <w:rsid w:val="001E4641"/>
    <w:rsid w:val="001F0084"/>
    <w:rsid w:val="001F46E3"/>
    <w:rsid w:val="00221386"/>
    <w:rsid w:val="00222F4F"/>
    <w:rsid w:val="002418AC"/>
    <w:rsid w:val="00252DEA"/>
    <w:rsid w:val="00254E3B"/>
    <w:rsid w:val="00283643"/>
    <w:rsid w:val="002911F4"/>
    <w:rsid w:val="00293371"/>
    <w:rsid w:val="002D1416"/>
    <w:rsid w:val="0030075A"/>
    <w:rsid w:val="00324A35"/>
    <w:rsid w:val="0038115B"/>
    <w:rsid w:val="00383A53"/>
    <w:rsid w:val="003978D5"/>
    <w:rsid w:val="003A5C98"/>
    <w:rsid w:val="003C6089"/>
    <w:rsid w:val="00434BF7"/>
    <w:rsid w:val="004403D8"/>
    <w:rsid w:val="004620BD"/>
    <w:rsid w:val="0047605E"/>
    <w:rsid w:val="0049325C"/>
    <w:rsid w:val="00495338"/>
    <w:rsid w:val="004B1123"/>
    <w:rsid w:val="004E4E88"/>
    <w:rsid w:val="004F7C31"/>
    <w:rsid w:val="00501750"/>
    <w:rsid w:val="005051E6"/>
    <w:rsid w:val="0051543C"/>
    <w:rsid w:val="00516533"/>
    <w:rsid w:val="00552D8C"/>
    <w:rsid w:val="0057361A"/>
    <w:rsid w:val="005A397C"/>
    <w:rsid w:val="005B0B05"/>
    <w:rsid w:val="005D56A4"/>
    <w:rsid w:val="005D795B"/>
    <w:rsid w:val="005F2D41"/>
    <w:rsid w:val="00606C65"/>
    <w:rsid w:val="00617888"/>
    <w:rsid w:val="00630F88"/>
    <w:rsid w:val="00672F5B"/>
    <w:rsid w:val="006751EF"/>
    <w:rsid w:val="0067716C"/>
    <w:rsid w:val="006833C2"/>
    <w:rsid w:val="006862F3"/>
    <w:rsid w:val="00700745"/>
    <w:rsid w:val="00703FE8"/>
    <w:rsid w:val="00706D3D"/>
    <w:rsid w:val="007176BE"/>
    <w:rsid w:val="00757B4B"/>
    <w:rsid w:val="007A4065"/>
    <w:rsid w:val="007A5B84"/>
    <w:rsid w:val="007A70B2"/>
    <w:rsid w:val="007B646F"/>
    <w:rsid w:val="007F2BA8"/>
    <w:rsid w:val="00813B41"/>
    <w:rsid w:val="00847EFA"/>
    <w:rsid w:val="008B118F"/>
    <w:rsid w:val="008C4DB0"/>
    <w:rsid w:val="008E1BED"/>
    <w:rsid w:val="008E2D21"/>
    <w:rsid w:val="00912963"/>
    <w:rsid w:val="009241B2"/>
    <w:rsid w:val="0093575A"/>
    <w:rsid w:val="009404E2"/>
    <w:rsid w:val="009426AD"/>
    <w:rsid w:val="0099295E"/>
    <w:rsid w:val="009E7506"/>
    <w:rsid w:val="00A07F57"/>
    <w:rsid w:val="00A2521F"/>
    <w:rsid w:val="00A422A1"/>
    <w:rsid w:val="00A56EF0"/>
    <w:rsid w:val="00A72B58"/>
    <w:rsid w:val="00AA1409"/>
    <w:rsid w:val="00AB5224"/>
    <w:rsid w:val="00AE63A9"/>
    <w:rsid w:val="00AF1E91"/>
    <w:rsid w:val="00B2508F"/>
    <w:rsid w:val="00B626DC"/>
    <w:rsid w:val="00BB08CD"/>
    <w:rsid w:val="00BB54E6"/>
    <w:rsid w:val="00BD4215"/>
    <w:rsid w:val="00BF5EAD"/>
    <w:rsid w:val="00BF600C"/>
    <w:rsid w:val="00C0789E"/>
    <w:rsid w:val="00C925D5"/>
    <w:rsid w:val="00CB2F06"/>
    <w:rsid w:val="00D11267"/>
    <w:rsid w:val="00D34859"/>
    <w:rsid w:val="00D7682E"/>
    <w:rsid w:val="00D965D2"/>
    <w:rsid w:val="00DB5FFC"/>
    <w:rsid w:val="00DC1760"/>
    <w:rsid w:val="00DC2374"/>
    <w:rsid w:val="00DD0A40"/>
    <w:rsid w:val="00DD4FC4"/>
    <w:rsid w:val="00E53B79"/>
    <w:rsid w:val="00E63553"/>
    <w:rsid w:val="00E8454C"/>
    <w:rsid w:val="00EA256E"/>
    <w:rsid w:val="00F07185"/>
    <w:rsid w:val="00F76159"/>
    <w:rsid w:val="00F819F0"/>
    <w:rsid w:val="00FA06BF"/>
    <w:rsid w:val="00FA36F8"/>
    <w:rsid w:val="00FA6D65"/>
    <w:rsid w:val="00FC72F9"/>
    <w:rsid w:val="00FE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AAC9EF"/>
  <w15:docId w15:val="{39FAD101-4CCE-48CE-A7FF-0E11BF2EF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0A4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41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18A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A6D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6D65"/>
  </w:style>
  <w:style w:type="paragraph" w:styleId="Stopka">
    <w:name w:val="footer"/>
    <w:basedOn w:val="Normalny"/>
    <w:link w:val="StopkaZnak"/>
    <w:uiPriority w:val="99"/>
    <w:unhideWhenUsed/>
    <w:rsid w:val="00FA6D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6D65"/>
  </w:style>
  <w:style w:type="character" w:styleId="Hipercze">
    <w:name w:val="Hyperlink"/>
    <w:basedOn w:val="Domylnaczcionkaakapitu"/>
    <w:uiPriority w:val="99"/>
    <w:unhideWhenUsed/>
    <w:rsid w:val="007A4065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AE6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07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585</Words>
  <Characters>3513</Characters>
  <Application>Microsoft Office Word</Application>
  <DocSecurity>0</DocSecurity>
  <Lines>29</Lines>
  <Paragraphs>8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Cornelia Camondo</dc:creator>
  <cp:keywords/>
  <dc:description/>
  <cp:lastModifiedBy>Monika Halejak</cp:lastModifiedBy>
  <cp:revision>14</cp:revision>
  <cp:lastPrinted>2020-04-28T09:33:00Z</cp:lastPrinted>
  <dcterms:created xsi:type="dcterms:W3CDTF">2020-03-20T10:25:00Z</dcterms:created>
  <dcterms:modified xsi:type="dcterms:W3CDTF">2020-05-05T10:52:00Z</dcterms:modified>
</cp:coreProperties>
</file>